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A7C" w:rsidRDefault="00EF1A7C" w:rsidP="00EF1A7C">
      <w:pPr>
        <w:jc w:val="center"/>
        <w:rPr>
          <w:rFonts w:asciiTheme="minorHAnsi" w:hAnsiTheme="minorHAnsi"/>
          <w:b/>
          <w:sz w:val="22"/>
          <w:szCs w:val="22"/>
        </w:rPr>
      </w:pPr>
      <w:r w:rsidRPr="00EF1A7C">
        <w:rPr>
          <w:rFonts w:asciiTheme="minorHAnsi" w:hAnsiTheme="minorHAnsi"/>
          <w:b/>
          <w:sz w:val="22"/>
          <w:szCs w:val="22"/>
        </w:rPr>
        <w:t>ANEXO A</w:t>
      </w:r>
    </w:p>
    <w:p w:rsidR="00EF1A7C" w:rsidRPr="00EF1A7C" w:rsidRDefault="00EF1A7C" w:rsidP="00EF1A7C">
      <w:pPr>
        <w:jc w:val="center"/>
        <w:rPr>
          <w:rFonts w:asciiTheme="minorHAnsi" w:hAnsiTheme="minorHAnsi"/>
          <w:b/>
          <w:sz w:val="22"/>
          <w:szCs w:val="22"/>
        </w:rPr>
      </w:pPr>
      <w:r>
        <w:rPr>
          <w:rFonts w:asciiTheme="minorHAnsi" w:hAnsiTheme="minorHAnsi"/>
          <w:b/>
          <w:sz w:val="22"/>
          <w:szCs w:val="22"/>
        </w:rPr>
        <w:t>PROPUESTA TÉCNICA</w:t>
      </w:r>
    </w:p>
    <w:p w:rsidR="00EF1A7C" w:rsidRPr="00EF1A7C" w:rsidRDefault="00EF1A7C" w:rsidP="00EF1A7C">
      <w:pPr>
        <w:jc w:val="center"/>
        <w:rPr>
          <w:rFonts w:asciiTheme="minorHAnsi" w:hAnsiTheme="minorHAnsi"/>
          <w:b/>
          <w:sz w:val="22"/>
          <w:szCs w:val="22"/>
        </w:rPr>
      </w:pPr>
    </w:p>
    <w:p w:rsidR="00EF1A7C" w:rsidRPr="00EF1A7C" w:rsidRDefault="00EF1A7C" w:rsidP="00EF1A7C">
      <w:pPr>
        <w:jc w:val="both"/>
        <w:rPr>
          <w:rFonts w:asciiTheme="minorHAnsi" w:hAnsiTheme="minorHAnsi"/>
          <w:sz w:val="22"/>
          <w:szCs w:val="22"/>
        </w:rPr>
      </w:pPr>
      <w:r w:rsidRPr="00EF1A7C">
        <w:rPr>
          <w:rFonts w:asciiTheme="minorHAnsi" w:hAnsiTheme="minorHAnsi"/>
          <w:sz w:val="22"/>
          <w:szCs w:val="22"/>
        </w:rPr>
        <w:t xml:space="preserve">Como parte del Servicio de Terapia de Diálisis Peritoneal el licitante deberá suministrar los consumibles e insumos, incluyendo el equipo y los accesorios en comodato requerido para los derechohabientes domiciliados de Pensiones Civiles del estado de Chihuahua coordinados por las Delegaciones de Chihuahua y Cd. Juárez, y deberá considerar para la elaboración de su propuesta lo siguiente: </w:t>
      </w:r>
    </w:p>
    <w:p w:rsidR="00EF1A7C" w:rsidRPr="00EF1A7C" w:rsidRDefault="00EF1A7C" w:rsidP="00EF1A7C">
      <w:pPr>
        <w:jc w:val="both"/>
        <w:rPr>
          <w:rFonts w:asciiTheme="minorHAnsi" w:hAnsiTheme="minorHAnsi"/>
          <w:sz w:val="22"/>
          <w:szCs w:val="22"/>
        </w:rPr>
      </w:pPr>
    </w:p>
    <w:p w:rsidR="00EF1A7C" w:rsidRPr="00EF1A7C" w:rsidRDefault="00EF1A7C" w:rsidP="00EF1A7C">
      <w:pPr>
        <w:jc w:val="both"/>
        <w:rPr>
          <w:rFonts w:asciiTheme="minorHAnsi" w:hAnsiTheme="minorHAnsi"/>
          <w:sz w:val="22"/>
          <w:szCs w:val="22"/>
        </w:rPr>
      </w:pPr>
      <w:r w:rsidRPr="00EF1A7C">
        <w:rPr>
          <w:rFonts w:asciiTheme="minorHAnsi" w:hAnsiTheme="minorHAnsi"/>
          <w:sz w:val="22"/>
          <w:szCs w:val="22"/>
        </w:rPr>
        <w:t xml:space="preserve">Los servicios a requerir deberán satisfacer todas las necesidades referentes a insumos, consumibles y maquinaria necesaria para las terapias: </w:t>
      </w:r>
    </w:p>
    <w:p w:rsidR="00EF1A7C" w:rsidRPr="00EF1A7C" w:rsidRDefault="00EF1A7C" w:rsidP="00EF1A7C">
      <w:pPr>
        <w:jc w:val="both"/>
        <w:rPr>
          <w:rFonts w:asciiTheme="minorHAnsi" w:hAnsiTheme="minorHAnsi"/>
          <w:sz w:val="22"/>
          <w:szCs w:val="22"/>
        </w:rPr>
      </w:pPr>
    </w:p>
    <w:p w:rsidR="00EF1A7C" w:rsidRPr="00EF1A7C" w:rsidRDefault="00EF1A7C" w:rsidP="00EF1A7C">
      <w:pPr>
        <w:pStyle w:val="Prrafodelista"/>
        <w:numPr>
          <w:ilvl w:val="0"/>
          <w:numId w:val="41"/>
        </w:numPr>
        <w:contextualSpacing/>
        <w:jc w:val="both"/>
        <w:rPr>
          <w:rFonts w:asciiTheme="minorHAnsi" w:hAnsiTheme="minorHAnsi"/>
          <w:sz w:val="22"/>
          <w:szCs w:val="22"/>
        </w:rPr>
      </w:pPr>
      <w:r w:rsidRPr="00EF1A7C">
        <w:rPr>
          <w:rFonts w:asciiTheme="minorHAnsi" w:hAnsiTheme="minorHAnsi"/>
          <w:sz w:val="22"/>
          <w:szCs w:val="22"/>
        </w:rPr>
        <w:t xml:space="preserve">DPA (Diálisis peritoneal automatizada): recurre al uso de máquinas cicladoras para la realización de intercambios. </w:t>
      </w:r>
    </w:p>
    <w:p w:rsidR="00EF1A7C" w:rsidRPr="00EF1A7C" w:rsidRDefault="00EF1A7C" w:rsidP="00EF1A7C">
      <w:pPr>
        <w:pStyle w:val="Prrafodelista"/>
        <w:numPr>
          <w:ilvl w:val="0"/>
          <w:numId w:val="41"/>
        </w:numPr>
        <w:contextualSpacing/>
        <w:jc w:val="both"/>
        <w:rPr>
          <w:rFonts w:asciiTheme="minorHAnsi" w:hAnsiTheme="minorHAnsi"/>
          <w:sz w:val="22"/>
          <w:szCs w:val="22"/>
        </w:rPr>
      </w:pPr>
      <w:r w:rsidRPr="00EF1A7C">
        <w:rPr>
          <w:rFonts w:asciiTheme="minorHAnsi" w:hAnsiTheme="minorHAnsi"/>
          <w:sz w:val="22"/>
          <w:szCs w:val="22"/>
        </w:rPr>
        <w:t xml:space="preserve">DPCA (Diálisis peritoneal continua ambulatoria): mantiene la solución de diálisis en la cavidad peritoneal 24 horas al día, se recambia con un promedio de 4 a 6 horas de permanencia durante el día y 8 horas por la noche. </w:t>
      </w:r>
    </w:p>
    <w:p w:rsidR="00EF1A7C" w:rsidRPr="00EF1A7C" w:rsidRDefault="00EF1A7C" w:rsidP="00EF1A7C">
      <w:pPr>
        <w:jc w:val="both"/>
        <w:rPr>
          <w:rFonts w:asciiTheme="minorHAnsi" w:hAnsiTheme="minorHAnsi"/>
          <w:sz w:val="22"/>
          <w:szCs w:val="22"/>
        </w:rPr>
      </w:pPr>
    </w:p>
    <w:p w:rsidR="00EF1A7C" w:rsidRPr="00EF1A7C" w:rsidRDefault="00EF1A7C" w:rsidP="00EF1A7C">
      <w:pPr>
        <w:pStyle w:val="Prrafodelista"/>
        <w:numPr>
          <w:ilvl w:val="0"/>
          <w:numId w:val="43"/>
        </w:numPr>
        <w:contextualSpacing/>
        <w:jc w:val="both"/>
        <w:rPr>
          <w:rFonts w:asciiTheme="minorHAnsi" w:hAnsiTheme="minorHAnsi"/>
          <w:b/>
          <w:sz w:val="22"/>
          <w:szCs w:val="22"/>
        </w:rPr>
      </w:pPr>
      <w:r w:rsidRPr="00EF1A7C">
        <w:rPr>
          <w:rFonts w:asciiTheme="minorHAnsi" w:hAnsiTheme="minorHAnsi"/>
          <w:b/>
          <w:sz w:val="22"/>
          <w:szCs w:val="22"/>
        </w:rPr>
        <w:t>CONSUMIBLES</w:t>
      </w:r>
    </w:p>
    <w:p w:rsidR="00EF1A7C" w:rsidRPr="00EF1A7C" w:rsidRDefault="00EF1A7C" w:rsidP="00EF1A7C">
      <w:pPr>
        <w:pStyle w:val="Prrafodelista"/>
        <w:jc w:val="both"/>
        <w:rPr>
          <w:rFonts w:asciiTheme="minorHAnsi" w:hAnsiTheme="minorHAnsi"/>
          <w:b/>
          <w:sz w:val="22"/>
          <w:szCs w:val="22"/>
        </w:rPr>
      </w:pPr>
    </w:p>
    <w:p w:rsidR="00EF1A7C" w:rsidRPr="00EF1A7C" w:rsidRDefault="00EF1A7C" w:rsidP="00EF1A7C">
      <w:pPr>
        <w:jc w:val="both"/>
        <w:rPr>
          <w:rFonts w:asciiTheme="minorHAnsi" w:hAnsiTheme="minorHAnsi"/>
          <w:sz w:val="22"/>
          <w:szCs w:val="22"/>
        </w:rPr>
      </w:pPr>
      <w:r w:rsidRPr="00EF1A7C">
        <w:rPr>
          <w:rFonts w:asciiTheme="minorHAnsi" w:hAnsiTheme="minorHAnsi"/>
          <w:sz w:val="22"/>
          <w:szCs w:val="22"/>
        </w:rPr>
        <w:t>El licitante ganador deberá proporcionar los consumibles de acuerdo con lo establecido en los cuadros de PRODUCTOS PARA LA APLICACIÓN DE DIÁLISIS PERITONEAL AUTOMATIZADA (DPA) y PRODUCTOS PARA LA APLICACIÓN DE DIÁLISIS PERITONEAL CONTINUA AMBULATORIA (DPCA) con las especificaciones señaladas en el apartado del mismo. El licitante deberá contemplar la cantidad de Pacientes en Terapia de Diálisis:</w:t>
      </w:r>
    </w:p>
    <w:p w:rsidR="00EF1A7C" w:rsidRPr="00EF1A7C" w:rsidRDefault="00EF1A7C" w:rsidP="00EF1A7C">
      <w:pPr>
        <w:jc w:val="both"/>
        <w:rPr>
          <w:rFonts w:asciiTheme="minorHAnsi" w:hAnsiTheme="minorHAnsi"/>
          <w:sz w:val="22"/>
          <w:szCs w:val="22"/>
        </w:rPr>
      </w:pPr>
    </w:p>
    <w:tbl>
      <w:tblPr>
        <w:tblStyle w:val="Tablaconcuadrcula"/>
        <w:tblW w:w="5000" w:type="pct"/>
        <w:tblLook w:val="04A0" w:firstRow="1" w:lastRow="0" w:firstColumn="1" w:lastColumn="0" w:noHBand="0" w:noVBand="1"/>
      </w:tblPr>
      <w:tblGrid>
        <w:gridCol w:w="1840"/>
        <w:gridCol w:w="2307"/>
        <w:gridCol w:w="2460"/>
        <w:gridCol w:w="2965"/>
      </w:tblGrid>
      <w:tr w:rsidR="00EF1A7C" w:rsidRPr="00EF1A7C" w:rsidTr="00EF1A7C">
        <w:tc>
          <w:tcPr>
            <w:tcW w:w="961" w:type="pct"/>
          </w:tcPr>
          <w:p w:rsidR="00EF1A7C" w:rsidRPr="00EF1A7C" w:rsidRDefault="00EF1A7C" w:rsidP="00127CC5">
            <w:pPr>
              <w:jc w:val="center"/>
              <w:rPr>
                <w:rFonts w:asciiTheme="minorHAnsi" w:hAnsiTheme="minorHAnsi"/>
                <w:b/>
                <w:sz w:val="22"/>
                <w:szCs w:val="22"/>
              </w:rPr>
            </w:pPr>
            <w:r w:rsidRPr="00EF1A7C">
              <w:rPr>
                <w:rFonts w:asciiTheme="minorHAnsi" w:hAnsiTheme="minorHAnsi"/>
                <w:b/>
                <w:sz w:val="22"/>
                <w:szCs w:val="22"/>
              </w:rPr>
              <w:t>Tipo de terapia</w:t>
            </w:r>
          </w:p>
        </w:tc>
        <w:tc>
          <w:tcPr>
            <w:tcW w:w="1205" w:type="pct"/>
          </w:tcPr>
          <w:p w:rsidR="00EF1A7C" w:rsidRPr="00EF1A7C" w:rsidRDefault="00EF1A7C" w:rsidP="00127CC5">
            <w:pPr>
              <w:jc w:val="center"/>
              <w:rPr>
                <w:rFonts w:asciiTheme="minorHAnsi" w:hAnsiTheme="minorHAnsi"/>
                <w:b/>
                <w:sz w:val="22"/>
                <w:szCs w:val="22"/>
              </w:rPr>
            </w:pPr>
            <w:r w:rsidRPr="00EF1A7C">
              <w:rPr>
                <w:rFonts w:asciiTheme="minorHAnsi" w:hAnsiTheme="minorHAnsi"/>
                <w:b/>
                <w:sz w:val="22"/>
                <w:szCs w:val="22"/>
              </w:rPr>
              <w:t>Actualidad</w:t>
            </w:r>
          </w:p>
        </w:tc>
        <w:tc>
          <w:tcPr>
            <w:tcW w:w="1285" w:type="pct"/>
          </w:tcPr>
          <w:p w:rsidR="00EF1A7C" w:rsidRPr="00EF1A7C" w:rsidRDefault="00EF1A7C" w:rsidP="00127CC5">
            <w:pPr>
              <w:jc w:val="center"/>
              <w:rPr>
                <w:rFonts w:asciiTheme="minorHAnsi" w:hAnsiTheme="minorHAnsi"/>
                <w:b/>
                <w:sz w:val="22"/>
                <w:szCs w:val="22"/>
              </w:rPr>
            </w:pPr>
            <w:r w:rsidRPr="00EF1A7C">
              <w:rPr>
                <w:rFonts w:asciiTheme="minorHAnsi" w:hAnsiTheme="minorHAnsi"/>
                <w:b/>
                <w:sz w:val="22"/>
                <w:szCs w:val="22"/>
              </w:rPr>
              <w:t>Mínimo</w:t>
            </w:r>
          </w:p>
        </w:tc>
        <w:tc>
          <w:tcPr>
            <w:tcW w:w="1550" w:type="pct"/>
          </w:tcPr>
          <w:p w:rsidR="00EF1A7C" w:rsidRPr="00EF1A7C" w:rsidRDefault="00EF1A7C" w:rsidP="00127CC5">
            <w:pPr>
              <w:jc w:val="center"/>
              <w:rPr>
                <w:rFonts w:asciiTheme="minorHAnsi" w:hAnsiTheme="minorHAnsi"/>
                <w:b/>
                <w:sz w:val="22"/>
                <w:szCs w:val="22"/>
              </w:rPr>
            </w:pPr>
            <w:r w:rsidRPr="00EF1A7C">
              <w:rPr>
                <w:rFonts w:asciiTheme="minorHAnsi" w:hAnsiTheme="minorHAnsi"/>
                <w:b/>
                <w:sz w:val="22"/>
                <w:szCs w:val="22"/>
              </w:rPr>
              <w:t>Máximo</w:t>
            </w:r>
          </w:p>
        </w:tc>
      </w:tr>
      <w:tr w:rsidR="00EF1A7C" w:rsidRPr="00EF1A7C" w:rsidTr="00EF1A7C">
        <w:tc>
          <w:tcPr>
            <w:tcW w:w="961" w:type="pct"/>
          </w:tcPr>
          <w:p w:rsidR="00EF1A7C" w:rsidRPr="00EF1A7C" w:rsidRDefault="00EF1A7C" w:rsidP="00127CC5">
            <w:pPr>
              <w:jc w:val="both"/>
              <w:rPr>
                <w:rFonts w:asciiTheme="minorHAnsi" w:hAnsiTheme="minorHAnsi"/>
                <w:sz w:val="22"/>
                <w:szCs w:val="22"/>
              </w:rPr>
            </w:pPr>
            <w:r w:rsidRPr="00EF1A7C">
              <w:rPr>
                <w:rFonts w:asciiTheme="minorHAnsi" w:hAnsiTheme="minorHAnsi"/>
                <w:sz w:val="22"/>
                <w:szCs w:val="22"/>
              </w:rPr>
              <w:t>DPA</w:t>
            </w:r>
          </w:p>
        </w:tc>
        <w:tc>
          <w:tcPr>
            <w:tcW w:w="1205" w:type="pct"/>
          </w:tcPr>
          <w:p w:rsidR="00EF1A7C" w:rsidRPr="00EF1A7C" w:rsidRDefault="00EF1A7C" w:rsidP="00127CC5">
            <w:pPr>
              <w:jc w:val="center"/>
              <w:rPr>
                <w:rFonts w:asciiTheme="minorHAnsi" w:hAnsiTheme="minorHAnsi"/>
                <w:sz w:val="22"/>
                <w:szCs w:val="22"/>
              </w:rPr>
            </w:pPr>
            <w:r w:rsidRPr="00EF1A7C">
              <w:rPr>
                <w:rFonts w:asciiTheme="minorHAnsi" w:hAnsiTheme="minorHAnsi"/>
                <w:sz w:val="22"/>
                <w:szCs w:val="22"/>
              </w:rPr>
              <w:t>12</w:t>
            </w:r>
          </w:p>
        </w:tc>
        <w:tc>
          <w:tcPr>
            <w:tcW w:w="1285" w:type="pct"/>
          </w:tcPr>
          <w:p w:rsidR="00EF1A7C" w:rsidRPr="00EF1A7C" w:rsidRDefault="00EF1A7C" w:rsidP="00127CC5">
            <w:pPr>
              <w:jc w:val="center"/>
              <w:rPr>
                <w:rFonts w:asciiTheme="minorHAnsi" w:hAnsiTheme="minorHAnsi"/>
                <w:sz w:val="22"/>
                <w:szCs w:val="22"/>
              </w:rPr>
            </w:pPr>
            <w:r w:rsidRPr="00EF1A7C">
              <w:rPr>
                <w:rFonts w:asciiTheme="minorHAnsi" w:hAnsiTheme="minorHAnsi"/>
                <w:sz w:val="22"/>
                <w:szCs w:val="22"/>
              </w:rPr>
              <w:t>7</w:t>
            </w:r>
          </w:p>
        </w:tc>
        <w:tc>
          <w:tcPr>
            <w:tcW w:w="1550" w:type="pct"/>
          </w:tcPr>
          <w:p w:rsidR="00EF1A7C" w:rsidRPr="00EF1A7C" w:rsidRDefault="00EF1A7C" w:rsidP="00127CC5">
            <w:pPr>
              <w:jc w:val="center"/>
              <w:rPr>
                <w:rFonts w:asciiTheme="minorHAnsi" w:hAnsiTheme="minorHAnsi"/>
                <w:sz w:val="22"/>
                <w:szCs w:val="22"/>
              </w:rPr>
            </w:pPr>
            <w:r w:rsidRPr="00EF1A7C">
              <w:rPr>
                <w:rFonts w:asciiTheme="minorHAnsi" w:hAnsiTheme="minorHAnsi"/>
                <w:sz w:val="22"/>
                <w:szCs w:val="22"/>
              </w:rPr>
              <w:t>16</w:t>
            </w:r>
          </w:p>
        </w:tc>
      </w:tr>
      <w:tr w:rsidR="00EF1A7C" w:rsidRPr="00EF1A7C" w:rsidTr="00EF1A7C">
        <w:tc>
          <w:tcPr>
            <w:tcW w:w="961" w:type="pct"/>
          </w:tcPr>
          <w:p w:rsidR="00EF1A7C" w:rsidRPr="00EF1A7C" w:rsidRDefault="00EF1A7C" w:rsidP="00127CC5">
            <w:pPr>
              <w:jc w:val="both"/>
              <w:rPr>
                <w:rFonts w:asciiTheme="minorHAnsi" w:hAnsiTheme="minorHAnsi"/>
                <w:sz w:val="22"/>
                <w:szCs w:val="22"/>
              </w:rPr>
            </w:pPr>
            <w:r w:rsidRPr="00EF1A7C">
              <w:rPr>
                <w:rFonts w:asciiTheme="minorHAnsi" w:hAnsiTheme="minorHAnsi"/>
                <w:sz w:val="22"/>
                <w:szCs w:val="22"/>
              </w:rPr>
              <w:t>DPCA</w:t>
            </w:r>
          </w:p>
        </w:tc>
        <w:tc>
          <w:tcPr>
            <w:tcW w:w="1205" w:type="pct"/>
          </w:tcPr>
          <w:p w:rsidR="00EF1A7C" w:rsidRPr="00EF1A7C" w:rsidRDefault="00EF1A7C" w:rsidP="00127CC5">
            <w:pPr>
              <w:jc w:val="center"/>
              <w:rPr>
                <w:rFonts w:asciiTheme="minorHAnsi" w:hAnsiTheme="minorHAnsi"/>
                <w:sz w:val="22"/>
                <w:szCs w:val="22"/>
              </w:rPr>
            </w:pPr>
            <w:r w:rsidRPr="00EF1A7C">
              <w:rPr>
                <w:rFonts w:asciiTheme="minorHAnsi" w:hAnsiTheme="minorHAnsi"/>
                <w:sz w:val="22"/>
                <w:szCs w:val="22"/>
              </w:rPr>
              <w:t>3</w:t>
            </w:r>
          </w:p>
        </w:tc>
        <w:tc>
          <w:tcPr>
            <w:tcW w:w="1285" w:type="pct"/>
          </w:tcPr>
          <w:p w:rsidR="00EF1A7C" w:rsidRPr="00EF1A7C" w:rsidRDefault="00EF1A7C" w:rsidP="00127CC5">
            <w:pPr>
              <w:jc w:val="center"/>
              <w:rPr>
                <w:rFonts w:asciiTheme="minorHAnsi" w:hAnsiTheme="minorHAnsi"/>
                <w:sz w:val="22"/>
                <w:szCs w:val="22"/>
              </w:rPr>
            </w:pPr>
            <w:r w:rsidRPr="00EF1A7C">
              <w:rPr>
                <w:rFonts w:asciiTheme="minorHAnsi" w:hAnsiTheme="minorHAnsi"/>
                <w:sz w:val="22"/>
                <w:szCs w:val="22"/>
              </w:rPr>
              <w:t>2</w:t>
            </w:r>
          </w:p>
        </w:tc>
        <w:tc>
          <w:tcPr>
            <w:tcW w:w="1550" w:type="pct"/>
          </w:tcPr>
          <w:p w:rsidR="00EF1A7C" w:rsidRPr="00EF1A7C" w:rsidRDefault="00EF1A7C" w:rsidP="00127CC5">
            <w:pPr>
              <w:jc w:val="center"/>
              <w:rPr>
                <w:rFonts w:asciiTheme="minorHAnsi" w:hAnsiTheme="minorHAnsi"/>
                <w:sz w:val="22"/>
                <w:szCs w:val="22"/>
              </w:rPr>
            </w:pPr>
            <w:r w:rsidRPr="00EF1A7C">
              <w:rPr>
                <w:rFonts w:asciiTheme="minorHAnsi" w:hAnsiTheme="minorHAnsi"/>
                <w:sz w:val="22"/>
                <w:szCs w:val="22"/>
              </w:rPr>
              <w:t>5</w:t>
            </w:r>
          </w:p>
        </w:tc>
      </w:tr>
    </w:tbl>
    <w:p w:rsidR="00EF1A7C" w:rsidRPr="00EF1A7C" w:rsidRDefault="00EF1A7C" w:rsidP="00EF1A7C">
      <w:pPr>
        <w:jc w:val="both"/>
        <w:rPr>
          <w:rFonts w:asciiTheme="minorHAnsi" w:hAnsiTheme="minorHAnsi"/>
          <w:sz w:val="22"/>
          <w:szCs w:val="22"/>
        </w:rPr>
      </w:pPr>
    </w:p>
    <w:p w:rsidR="00EF1A7C" w:rsidRPr="00EF1A7C" w:rsidRDefault="00EF1A7C" w:rsidP="00EF1A7C">
      <w:pPr>
        <w:jc w:val="both"/>
        <w:rPr>
          <w:rFonts w:asciiTheme="minorHAnsi" w:hAnsiTheme="minorHAnsi"/>
          <w:sz w:val="22"/>
          <w:szCs w:val="22"/>
        </w:rPr>
      </w:pPr>
      <w:r w:rsidRPr="00EF1A7C">
        <w:rPr>
          <w:rFonts w:asciiTheme="minorHAnsi" w:hAnsiTheme="minorHAnsi"/>
          <w:sz w:val="22"/>
          <w:szCs w:val="22"/>
        </w:rPr>
        <w:t xml:space="preserve">Todos los consumibles necesarios para realizar los procedimientos de la terapia de diálisis deberán suministrarse por el proveedor, de acuerdo a las necesidades de la institución, debiendo encontrarse listos para utilizarse; y serán para cada sesión de diálisis. Dentro de los consumibles se deberá contemplar considerando que 1 (uno) paciente requiere de: </w:t>
      </w:r>
    </w:p>
    <w:p w:rsidR="00EF1A7C" w:rsidRPr="00EF1A7C" w:rsidRDefault="00EF1A7C" w:rsidP="00EF1A7C">
      <w:pPr>
        <w:jc w:val="both"/>
        <w:rPr>
          <w:rFonts w:asciiTheme="minorHAnsi" w:hAnsiTheme="minorHAnsi"/>
          <w:sz w:val="22"/>
          <w:szCs w:val="22"/>
        </w:rPr>
      </w:pPr>
    </w:p>
    <w:p w:rsidR="00EF1A7C" w:rsidRPr="00EF1A7C" w:rsidRDefault="00EF1A7C" w:rsidP="00EF1A7C">
      <w:pPr>
        <w:pStyle w:val="Prrafodelista"/>
        <w:numPr>
          <w:ilvl w:val="0"/>
          <w:numId w:val="42"/>
        </w:numPr>
        <w:contextualSpacing/>
        <w:jc w:val="both"/>
        <w:rPr>
          <w:rFonts w:asciiTheme="minorHAnsi" w:hAnsiTheme="minorHAnsi" w:cs="Arial"/>
          <w:bCs/>
          <w:sz w:val="22"/>
          <w:szCs w:val="22"/>
        </w:rPr>
      </w:pPr>
      <w:r w:rsidRPr="00EF1A7C">
        <w:rPr>
          <w:rFonts w:asciiTheme="minorHAnsi" w:hAnsiTheme="minorHAnsi" w:cs="Arial"/>
          <w:bCs/>
          <w:sz w:val="22"/>
          <w:szCs w:val="22"/>
        </w:rPr>
        <w:t>Para terapia DPA:</w:t>
      </w:r>
    </w:p>
    <w:p w:rsidR="00EF1A7C" w:rsidRPr="00EF1A7C" w:rsidRDefault="00EF1A7C" w:rsidP="00EF1A7C">
      <w:pPr>
        <w:pStyle w:val="Prrafodelista"/>
        <w:numPr>
          <w:ilvl w:val="1"/>
          <w:numId w:val="42"/>
        </w:numPr>
        <w:contextualSpacing/>
        <w:jc w:val="both"/>
        <w:rPr>
          <w:rFonts w:asciiTheme="minorHAnsi" w:hAnsiTheme="minorHAnsi" w:cs="Arial"/>
          <w:bCs/>
          <w:sz w:val="22"/>
          <w:szCs w:val="22"/>
        </w:rPr>
      </w:pPr>
      <w:r w:rsidRPr="00EF1A7C">
        <w:rPr>
          <w:rFonts w:asciiTheme="minorHAnsi" w:hAnsiTheme="minorHAnsi" w:cs="Arial"/>
          <w:bCs/>
          <w:sz w:val="22"/>
          <w:szCs w:val="22"/>
        </w:rPr>
        <w:t>Se necesitan 2 bolsas diarias (según lo especificado en el cuadro “</w:t>
      </w:r>
      <w:r w:rsidRPr="00EF1A7C">
        <w:rPr>
          <w:rFonts w:asciiTheme="minorHAnsi" w:hAnsiTheme="minorHAnsi"/>
          <w:sz w:val="22"/>
          <w:szCs w:val="22"/>
        </w:rPr>
        <w:t xml:space="preserve">PRODUCTOS PARA LA APLICACIÓN DE DIÁLISIS PERITONEAL AUTOMATIZADA (DPA)” </w:t>
      </w:r>
      <w:r w:rsidRPr="00EF1A7C">
        <w:rPr>
          <w:rFonts w:asciiTheme="minorHAnsi" w:hAnsiTheme="minorHAnsi" w:cs="Arial"/>
          <w:bCs/>
          <w:sz w:val="22"/>
          <w:szCs w:val="22"/>
        </w:rPr>
        <w:t>de 6lts en diferentes soluciones por paciente, una necesariamente de 1.5% y la otra puede variar entre las cuatro opciones.</w:t>
      </w:r>
    </w:p>
    <w:p w:rsidR="00EF1A7C" w:rsidRPr="00EF1A7C" w:rsidRDefault="00EF1A7C" w:rsidP="00EF1A7C">
      <w:pPr>
        <w:pStyle w:val="Prrafodelista"/>
        <w:numPr>
          <w:ilvl w:val="1"/>
          <w:numId w:val="42"/>
        </w:numPr>
        <w:contextualSpacing/>
        <w:jc w:val="both"/>
        <w:rPr>
          <w:rFonts w:asciiTheme="minorHAnsi" w:hAnsiTheme="minorHAnsi" w:cs="Arial"/>
          <w:bCs/>
          <w:sz w:val="22"/>
          <w:szCs w:val="22"/>
        </w:rPr>
      </w:pPr>
      <w:r w:rsidRPr="00EF1A7C">
        <w:rPr>
          <w:rFonts w:asciiTheme="minorHAnsi" w:hAnsiTheme="minorHAnsi" w:cs="Arial"/>
          <w:sz w:val="22"/>
          <w:szCs w:val="22"/>
        </w:rPr>
        <w:t xml:space="preserve">El paciente necesita dos líneas de transferencia por año, y un kit diario de pinzas, tapones y cubre bocas, agregándole a este kit el casete necesario para la máquina cicladora, esto que cumpla con lo especificado en el cuadro ACCESORIOS PARA LA TERAPIA DE DIÁLISIS. </w:t>
      </w:r>
    </w:p>
    <w:p w:rsidR="00EF1A7C" w:rsidRPr="00EF1A7C" w:rsidRDefault="00EF1A7C" w:rsidP="00EF1A7C">
      <w:pPr>
        <w:jc w:val="both"/>
        <w:rPr>
          <w:rFonts w:asciiTheme="minorHAnsi" w:hAnsiTheme="minorHAnsi" w:cs="Arial"/>
          <w:sz w:val="22"/>
          <w:szCs w:val="22"/>
        </w:rPr>
      </w:pPr>
    </w:p>
    <w:p w:rsidR="00EF1A7C" w:rsidRPr="00EF1A7C" w:rsidRDefault="00EF1A7C" w:rsidP="00EF1A7C">
      <w:pPr>
        <w:pStyle w:val="Prrafodelista"/>
        <w:numPr>
          <w:ilvl w:val="0"/>
          <w:numId w:val="42"/>
        </w:numPr>
        <w:contextualSpacing/>
        <w:jc w:val="both"/>
        <w:rPr>
          <w:rFonts w:asciiTheme="minorHAnsi" w:hAnsiTheme="minorHAnsi" w:cs="Arial"/>
          <w:bCs/>
          <w:sz w:val="22"/>
          <w:szCs w:val="22"/>
        </w:rPr>
      </w:pPr>
      <w:r w:rsidRPr="00EF1A7C">
        <w:rPr>
          <w:rFonts w:asciiTheme="minorHAnsi" w:hAnsiTheme="minorHAnsi" w:cs="Arial"/>
          <w:bCs/>
          <w:sz w:val="22"/>
          <w:szCs w:val="22"/>
        </w:rPr>
        <w:t xml:space="preserve">Para esta terapia DPCA </w:t>
      </w:r>
    </w:p>
    <w:p w:rsidR="00EF1A7C" w:rsidRPr="00EF1A7C" w:rsidRDefault="00EF1A7C" w:rsidP="00EF1A7C">
      <w:pPr>
        <w:pStyle w:val="Prrafodelista"/>
        <w:numPr>
          <w:ilvl w:val="1"/>
          <w:numId w:val="42"/>
        </w:numPr>
        <w:contextualSpacing/>
        <w:jc w:val="both"/>
        <w:rPr>
          <w:rFonts w:asciiTheme="minorHAnsi" w:hAnsiTheme="minorHAnsi" w:cs="Arial"/>
          <w:bCs/>
          <w:sz w:val="22"/>
          <w:szCs w:val="22"/>
        </w:rPr>
      </w:pPr>
      <w:r w:rsidRPr="00EF1A7C">
        <w:rPr>
          <w:rFonts w:asciiTheme="minorHAnsi" w:hAnsiTheme="minorHAnsi" w:cs="Arial"/>
          <w:bCs/>
          <w:sz w:val="22"/>
          <w:szCs w:val="22"/>
        </w:rPr>
        <w:t>Se necesitan 4 bolsas diarias según lo especificado en el cuadro “</w:t>
      </w:r>
      <w:r w:rsidRPr="00EF1A7C">
        <w:rPr>
          <w:rFonts w:asciiTheme="minorHAnsi" w:hAnsiTheme="minorHAnsi"/>
          <w:sz w:val="22"/>
          <w:szCs w:val="22"/>
        </w:rPr>
        <w:t xml:space="preserve">PRODUCTOS PARA LA APLICACIÓN DE DIÁLISIS PERITONEAL CONTINUA AMBULATORIA (DPCA)” </w:t>
      </w:r>
      <w:r w:rsidRPr="00EF1A7C">
        <w:rPr>
          <w:rFonts w:asciiTheme="minorHAnsi" w:hAnsiTheme="minorHAnsi" w:cs="Arial"/>
          <w:bCs/>
          <w:sz w:val="22"/>
          <w:szCs w:val="22"/>
        </w:rPr>
        <w:t>de 2lts en diferentes soluciones por paciente, dos necesariamente de 1.5% y la otra puede variar entre las cuatro opciones.</w:t>
      </w:r>
    </w:p>
    <w:p w:rsidR="00EF1A7C" w:rsidRPr="00EF1A7C" w:rsidRDefault="00EF1A7C" w:rsidP="00EF1A7C">
      <w:pPr>
        <w:pStyle w:val="Prrafodelista"/>
        <w:numPr>
          <w:ilvl w:val="1"/>
          <w:numId w:val="42"/>
        </w:numPr>
        <w:contextualSpacing/>
        <w:jc w:val="both"/>
        <w:rPr>
          <w:rFonts w:asciiTheme="minorHAnsi" w:hAnsiTheme="minorHAnsi" w:cs="Arial"/>
          <w:bCs/>
          <w:sz w:val="22"/>
          <w:szCs w:val="22"/>
        </w:rPr>
      </w:pPr>
      <w:r w:rsidRPr="00EF1A7C">
        <w:rPr>
          <w:rFonts w:asciiTheme="minorHAnsi" w:hAnsiTheme="minorHAnsi" w:cs="Arial"/>
          <w:sz w:val="22"/>
          <w:szCs w:val="22"/>
        </w:rPr>
        <w:t>El paciente necesita dos líneas de transferencia por año, y un kit diario de pinzas, tapones y cubre bocas esto que cumpla con lo especificado en el cuadro ACCESORIOS PARA LA TERAPIA DE DIÁLISIS.</w:t>
      </w:r>
    </w:p>
    <w:p w:rsidR="00EF1A7C" w:rsidRPr="00EF1A7C" w:rsidRDefault="00EF1A7C" w:rsidP="00EF1A7C">
      <w:pPr>
        <w:jc w:val="both"/>
        <w:rPr>
          <w:rFonts w:asciiTheme="minorHAnsi" w:hAnsiTheme="minorHAnsi"/>
          <w:sz w:val="22"/>
          <w:szCs w:val="22"/>
        </w:rPr>
      </w:pPr>
    </w:p>
    <w:p w:rsidR="00EF1A7C" w:rsidRPr="00EF1A7C" w:rsidRDefault="00EF1A7C" w:rsidP="00EF1A7C">
      <w:pPr>
        <w:jc w:val="both"/>
        <w:rPr>
          <w:rFonts w:asciiTheme="minorHAnsi" w:hAnsiTheme="minorHAnsi"/>
          <w:sz w:val="22"/>
          <w:szCs w:val="22"/>
        </w:rPr>
      </w:pPr>
      <w:r w:rsidRPr="00EF1A7C">
        <w:rPr>
          <w:rFonts w:asciiTheme="minorHAnsi" w:hAnsiTheme="minorHAnsi"/>
          <w:sz w:val="22"/>
          <w:szCs w:val="22"/>
        </w:rPr>
        <w:t xml:space="preserve">Los consumibles deberán ser estrictamente compatibles y/o de la misma marca que las máquinas cicladoras a utilizar en la prestación del servicio y deberán cumplir con las especificaciones técnicas y de control de calidad, según la NOM-MEXICANA 2016 PARA LA PRÁCTICA DE HEMODIÁLISIS. </w:t>
      </w:r>
    </w:p>
    <w:p w:rsidR="00EF1A7C" w:rsidRPr="00EF1A7C" w:rsidRDefault="00EF1A7C" w:rsidP="00EF1A7C">
      <w:pPr>
        <w:jc w:val="both"/>
        <w:rPr>
          <w:rFonts w:asciiTheme="minorHAnsi" w:hAnsiTheme="minorHAnsi"/>
          <w:sz w:val="22"/>
          <w:szCs w:val="22"/>
        </w:rPr>
      </w:pPr>
    </w:p>
    <w:p w:rsidR="00EF1A7C" w:rsidRPr="00EF1A7C" w:rsidRDefault="00EF1A7C" w:rsidP="00EF1A7C">
      <w:pPr>
        <w:pStyle w:val="Prrafodelista"/>
        <w:numPr>
          <w:ilvl w:val="0"/>
          <w:numId w:val="43"/>
        </w:numPr>
        <w:contextualSpacing/>
        <w:jc w:val="both"/>
        <w:rPr>
          <w:rFonts w:asciiTheme="minorHAnsi" w:hAnsiTheme="minorHAnsi"/>
          <w:b/>
          <w:sz w:val="22"/>
          <w:szCs w:val="22"/>
        </w:rPr>
      </w:pPr>
      <w:r w:rsidRPr="00EF1A7C">
        <w:rPr>
          <w:rFonts w:asciiTheme="minorHAnsi" w:hAnsiTheme="minorHAnsi"/>
          <w:b/>
          <w:sz w:val="22"/>
          <w:szCs w:val="22"/>
        </w:rPr>
        <w:t>REQUERIMIENTO DEL SERVICIO</w:t>
      </w:r>
    </w:p>
    <w:p w:rsidR="00EF1A7C" w:rsidRPr="00EF1A7C" w:rsidRDefault="00EF1A7C" w:rsidP="00EF1A7C">
      <w:pPr>
        <w:jc w:val="both"/>
        <w:rPr>
          <w:rFonts w:asciiTheme="minorHAnsi" w:hAnsiTheme="minorHAnsi"/>
          <w:sz w:val="22"/>
          <w:szCs w:val="22"/>
        </w:rPr>
      </w:pPr>
    </w:p>
    <w:p w:rsidR="00EF1A7C" w:rsidRPr="00EF1A7C" w:rsidRDefault="00EF1A7C" w:rsidP="00EF1A7C">
      <w:pPr>
        <w:jc w:val="both"/>
        <w:rPr>
          <w:rFonts w:asciiTheme="minorHAnsi" w:hAnsiTheme="minorHAnsi"/>
          <w:sz w:val="22"/>
          <w:szCs w:val="22"/>
        </w:rPr>
      </w:pPr>
      <w:r w:rsidRPr="00EF1A7C">
        <w:rPr>
          <w:rFonts w:asciiTheme="minorHAnsi" w:hAnsiTheme="minorHAnsi"/>
          <w:sz w:val="22"/>
          <w:szCs w:val="22"/>
        </w:rPr>
        <w:t xml:space="preserve">Como parte del servicio, el proveedor deberá proporcionar las máquinas cicladoras en forma de comodato para cada paciente de DPA. El proveedor adjudicado deberá proporcionar e instalar las máquinas cicladoras en la vivienda del derechohabiente para la prestación del servicio.  </w:t>
      </w:r>
    </w:p>
    <w:p w:rsidR="00EF1A7C" w:rsidRPr="00EF1A7C" w:rsidRDefault="00EF1A7C" w:rsidP="00EF1A7C">
      <w:pPr>
        <w:jc w:val="both"/>
        <w:rPr>
          <w:rFonts w:asciiTheme="minorHAnsi" w:hAnsiTheme="minorHAnsi"/>
          <w:sz w:val="22"/>
          <w:szCs w:val="22"/>
        </w:rPr>
      </w:pPr>
    </w:p>
    <w:p w:rsidR="00EF1A7C" w:rsidRPr="00EF1A7C" w:rsidRDefault="00EF1A7C" w:rsidP="00EF1A7C">
      <w:pPr>
        <w:pStyle w:val="Prrafodelista"/>
        <w:numPr>
          <w:ilvl w:val="1"/>
          <w:numId w:val="43"/>
        </w:numPr>
        <w:ind w:left="284"/>
        <w:contextualSpacing/>
        <w:jc w:val="both"/>
        <w:rPr>
          <w:rFonts w:asciiTheme="minorHAnsi" w:hAnsiTheme="minorHAnsi"/>
          <w:sz w:val="22"/>
          <w:szCs w:val="22"/>
        </w:rPr>
      </w:pPr>
      <w:r w:rsidRPr="00EF1A7C">
        <w:rPr>
          <w:rFonts w:asciiTheme="minorHAnsi" w:hAnsiTheme="minorHAnsi"/>
          <w:sz w:val="22"/>
          <w:szCs w:val="22"/>
          <w:u w:val="single"/>
        </w:rPr>
        <w:t xml:space="preserve"> ASISTENCIA TÉCNICA</w:t>
      </w:r>
      <w:r w:rsidRPr="00EF1A7C">
        <w:rPr>
          <w:rFonts w:asciiTheme="minorHAnsi" w:hAnsiTheme="minorHAnsi"/>
          <w:sz w:val="22"/>
          <w:szCs w:val="22"/>
        </w:rPr>
        <w:t>: El proveedor deberá proporcionar la asistencia técnica local o en call center necesaria, para el uso óptimo de las máquinas  e insumos que requieran los derechohabientes. Se requiere que la bitácora y la asistencia técnica de movimientos se hagan en coordinación con la institución así como opción a notificación en tiempo real de insumos, consumibles y/o equipamento entregados al derechohabiente. Se requiere capacitación constante al derechohabiente, su familia y personal de la institución según sea requerido.</w:t>
      </w:r>
    </w:p>
    <w:p w:rsidR="00EF1A7C" w:rsidRPr="00EF1A7C" w:rsidRDefault="00EF1A7C" w:rsidP="00EF1A7C">
      <w:pPr>
        <w:pStyle w:val="Prrafodelista"/>
        <w:jc w:val="both"/>
        <w:rPr>
          <w:rFonts w:asciiTheme="minorHAnsi" w:hAnsiTheme="minorHAnsi"/>
          <w:sz w:val="22"/>
          <w:szCs w:val="22"/>
          <w:u w:val="single"/>
        </w:rPr>
      </w:pPr>
    </w:p>
    <w:p w:rsidR="00EF1A7C" w:rsidRPr="00EF1A7C" w:rsidRDefault="00EF1A7C" w:rsidP="00EF1A7C">
      <w:pPr>
        <w:pStyle w:val="Prrafodelista"/>
        <w:numPr>
          <w:ilvl w:val="1"/>
          <w:numId w:val="43"/>
        </w:numPr>
        <w:ind w:left="284"/>
        <w:contextualSpacing/>
        <w:jc w:val="both"/>
        <w:rPr>
          <w:rFonts w:asciiTheme="minorHAnsi" w:hAnsiTheme="minorHAnsi"/>
          <w:sz w:val="22"/>
          <w:szCs w:val="22"/>
        </w:rPr>
      </w:pPr>
      <w:r w:rsidRPr="00EF1A7C">
        <w:rPr>
          <w:rFonts w:asciiTheme="minorHAnsi" w:hAnsiTheme="minorHAnsi"/>
          <w:sz w:val="22"/>
          <w:szCs w:val="22"/>
          <w:u w:val="single"/>
        </w:rPr>
        <w:t>SERVICIO INTEGRAL</w:t>
      </w:r>
      <w:r w:rsidRPr="00EF1A7C">
        <w:rPr>
          <w:rFonts w:asciiTheme="minorHAnsi" w:hAnsiTheme="minorHAnsi"/>
          <w:sz w:val="22"/>
          <w:szCs w:val="22"/>
        </w:rPr>
        <w:t xml:space="preserve">. Se requiere que el proveedor incluya: </w:t>
      </w:r>
    </w:p>
    <w:p w:rsidR="00EF1A7C" w:rsidRPr="00EF1A7C" w:rsidRDefault="00EF1A7C" w:rsidP="00EF1A7C">
      <w:pPr>
        <w:pStyle w:val="Prrafodelista"/>
        <w:numPr>
          <w:ilvl w:val="0"/>
          <w:numId w:val="44"/>
        </w:numPr>
        <w:ind w:left="567" w:hanging="207"/>
        <w:contextualSpacing/>
        <w:jc w:val="both"/>
        <w:rPr>
          <w:rFonts w:asciiTheme="minorHAnsi" w:hAnsiTheme="minorHAnsi"/>
          <w:sz w:val="22"/>
          <w:szCs w:val="22"/>
        </w:rPr>
      </w:pPr>
      <w:r w:rsidRPr="00EF1A7C">
        <w:rPr>
          <w:rFonts w:asciiTheme="minorHAnsi" w:hAnsiTheme="minorHAnsi"/>
          <w:sz w:val="22"/>
          <w:szCs w:val="22"/>
        </w:rPr>
        <w:t xml:space="preserve">Inscripción y seguimiento de los pacientes a cada terapia. </w:t>
      </w:r>
    </w:p>
    <w:p w:rsidR="00EF1A7C" w:rsidRPr="00EF1A7C" w:rsidRDefault="00EF1A7C" w:rsidP="00EF1A7C">
      <w:pPr>
        <w:pStyle w:val="Prrafodelista"/>
        <w:numPr>
          <w:ilvl w:val="0"/>
          <w:numId w:val="44"/>
        </w:numPr>
        <w:ind w:left="567" w:hanging="207"/>
        <w:contextualSpacing/>
        <w:jc w:val="both"/>
        <w:rPr>
          <w:rFonts w:asciiTheme="minorHAnsi" w:hAnsiTheme="minorHAnsi"/>
          <w:sz w:val="22"/>
          <w:szCs w:val="22"/>
        </w:rPr>
      </w:pPr>
      <w:r w:rsidRPr="00EF1A7C">
        <w:rPr>
          <w:rFonts w:asciiTheme="minorHAnsi" w:hAnsiTheme="minorHAnsi"/>
          <w:sz w:val="22"/>
          <w:szCs w:val="22"/>
        </w:rPr>
        <w:t>Visitas programadas por parte de coordinación clínica.</w:t>
      </w:r>
    </w:p>
    <w:p w:rsidR="00EF1A7C" w:rsidRPr="00EF1A7C" w:rsidRDefault="00EF1A7C" w:rsidP="00EF1A7C">
      <w:pPr>
        <w:pStyle w:val="Prrafodelista"/>
        <w:numPr>
          <w:ilvl w:val="0"/>
          <w:numId w:val="44"/>
        </w:numPr>
        <w:ind w:left="567" w:hanging="207"/>
        <w:contextualSpacing/>
        <w:jc w:val="both"/>
        <w:rPr>
          <w:rFonts w:asciiTheme="minorHAnsi" w:hAnsiTheme="minorHAnsi"/>
          <w:sz w:val="22"/>
          <w:szCs w:val="22"/>
        </w:rPr>
      </w:pPr>
      <w:r w:rsidRPr="00EF1A7C">
        <w:rPr>
          <w:rFonts w:asciiTheme="minorHAnsi" w:hAnsiTheme="minorHAnsi"/>
          <w:sz w:val="22"/>
          <w:szCs w:val="22"/>
        </w:rPr>
        <w:t>Entrega de producto en la unidad, almacén de la institución y domicilio del paciente según sea requerido.</w:t>
      </w:r>
    </w:p>
    <w:p w:rsidR="00EF1A7C" w:rsidRPr="00EF1A7C" w:rsidRDefault="00EF1A7C" w:rsidP="00EF1A7C">
      <w:pPr>
        <w:pStyle w:val="Prrafodelista"/>
        <w:numPr>
          <w:ilvl w:val="0"/>
          <w:numId w:val="44"/>
        </w:numPr>
        <w:ind w:left="567" w:hanging="207"/>
        <w:contextualSpacing/>
        <w:jc w:val="both"/>
        <w:rPr>
          <w:rFonts w:asciiTheme="minorHAnsi" w:hAnsiTheme="minorHAnsi"/>
          <w:sz w:val="22"/>
          <w:szCs w:val="22"/>
        </w:rPr>
      </w:pPr>
      <w:r w:rsidRPr="00EF1A7C">
        <w:rPr>
          <w:rFonts w:asciiTheme="minorHAnsi" w:hAnsiTheme="minorHAnsi"/>
          <w:sz w:val="22"/>
          <w:szCs w:val="22"/>
        </w:rPr>
        <w:t>Con Plataforma de Conectividad, plataforma segura basada en la nube que conecta a clínicos, pacientes y la empresa proveedora en coordinación con la Institución.</w:t>
      </w:r>
    </w:p>
    <w:p w:rsidR="00EF1A7C" w:rsidRPr="00EF1A7C" w:rsidRDefault="00EF1A7C" w:rsidP="00EF1A7C">
      <w:pPr>
        <w:jc w:val="both"/>
        <w:rPr>
          <w:rFonts w:asciiTheme="minorHAnsi" w:hAnsiTheme="minorHAnsi"/>
          <w:sz w:val="22"/>
          <w:szCs w:val="22"/>
        </w:rPr>
      </w:pPr>
    </w:p>
    <w:p w:rsidR="00EF1A7C" w:rsidRPr="00EF1A7C" w:rsidRDefault="00EF1A7C" w:rsidP="00EF1A7C">
      <w:pPr>
        <w:pStyle w:val="Prrafodelista"/>
        <w:numPr>
          <w:ilvl w:val="1"/>
          <w:numId w:val="43"/>
        </w:numPr>
        <w:ind w:left="284"/>
        <w:contextualSpacing/>
        <w:jc w:val="both"/>
        <w:rPr>
          <w:rFonts w:asciiTheme="minorHAnsi" w:hAnsiTheme="minorHAnsi"/>
          <w:sz w:val="22"/>
          <w:szCs w:val="22"/>
        </w:rPr>
      </w:pPr>
      <w:r w:rsidRPr="00EF1A7C">
        <w:rPr>
          <w:rFonts w:asciiTheme="minorHAnsi" w:hAnsiTheme="minorHAnsi"/>
          <w:sz w:val="22"/>
          <w:szCs w:val="22"/>
          <w:u w:val="single"/>
        </w:rPr>
        <w:t>CONDICIONES DE LA PRESTACIÓN DEL SERVICIO</w:t>
      </w:r>
      <w:r w:rsidRPr="00EF1A7C">
        <w:rPr>
          <w:rFonts w:asciiTheme="minorHAnsi" w:hAnsiTheme="minorHAnsi"/>
          <w:sz w:val="22"/>
          <w:szCs w:val="22"/>
        </w:rPr>
        <w:t xml:space="preserve">. La transportación de los insumos, consumibles, equipos y demás bienes, las maniobras de carga y descarga de los bienes, materiales y los propios equipos en el lugar de entrega e instalación de estos últimos así como su resguardo estarán a cargo del Proveedor, hasta que estos sean recibidos de conformidad por la Institución.  </w:t>
      </w:r>
    </w:p>
    <w:p w:rsidR="00EF1A7C" w:rsidRPr="00EF1A7C" w:rsidRDefault="00EF1A7C" w:rsidP="00EF1A7C">
      <w:pPr>
        <w:jc w:val="both"/>
        <w:rPr>
          <w:rFonts w:asciiTheme="minorHAnsi" w:hAnsiTheme="minorHAnsi"/>
          <w:sz w:val="22"/>
          <w:szCs w:val="22"/>
        </w:rPr>
      </w:pPr>
    </w:p>
    <w:p w:rsidR="00EF1A7C" w:rsidRPr="00EF1A7C" w:rsidRDefault="00EF1A7C" w:rsidP="00EF1A7C">
      <w:pPr>
        <w:pStyle w:val="Prrafodelista"/>
        <w:numPr>
          <w:ilvl w:val="1"/>
          <w:numId w:val="43"/>
        </w:numPr>
        <w:ind w:left="284"/>
        <w:contextualSpacing/>
        <w:jc w:val="both"/>
        <w:rPr>
          <w:rFonts w:asciiTheme="minorHAnsi" w:hAnsiTheme="minorHAnsi"/>
          <w:sz w:val="22"/>
          <w:szCs w:val="22"/>
        </w:rPr>
      </w:pPr>
      <w:r w:rsidRPr="00EF1A7C">
        <w:rPr>
          <w:rFonts w:asciiTheme="minorHAnsi" w:hAnsiTheme="minorHAnsi"/>
          <w:sz w:val="22"/>
          <w:szCs w:val="22"/>
          <w:u w:val="single"/>
        </w:rPr>
        <w:t xml:space="preserve">MANTENIMIENTO PREVENTIVO Y CORRECTIVO. </w:t>
      </w:r>
      <w:r w:rsidRPr="00EF1A7C">
        <w:rPr>
          <w:rFonts w:asciiTheme="minorHAnsi" w:hAnsiTheme="minorHAnsi"/>
          <w:sz w:val="22"/>
          <w:szCs w:val="22"/>
        </w:rPr>
        <w:t xml:space="preserve">El proveedor adjudicado deberá proporcionar sin costo adicional durante la vigencia del contrato de prestación de servicios, el mantenimiento preventivo y correctivo que se transcribe a continuación, con mano de obra, refacciones, lubricantes y demás actividades y materiales que en su caso fuesen necesarias para la correcta operación de sus equipos.  </w:t>
      </w:r>
    </w:p>
    <w:p w:rsidR="00EF1A7C" w:rsidRPr="00EF1A7C" w:rsidRDefault="00EF1A7C" w:rsidP="00EF1A7C">
      <w:pPr>
        <w:jc w:val="both"/>
        <w:rPr>
          <w:rFonts w:asciiTheme="minorHAnsi" w:hAnsiTheme="minorHAnsi"/>
          <w:sz w:val="22"/>
          <w:szCs w:val="22"/>
        </w:rPr>
      </w:pPr>
    </w:p>
    <w:p w:rsidR="00EF1A7C" w:rsidRPr="00EF1A7C" w:rsidRDefault="00EF1A7C" w:rsidP="00EF1A7C">
      <w:pPr>
        <w:pStyle w:val="Prrafodelista"/>
        <w:numPr>
          <w:ilvl w:val="0"/>
          <w:numId w:val="46"/>
        </w:numPr>
        <w:ind w:left="709" w:hanging="349"/>
        <w:contextualSpacing/>
        <w:jc w:val="both"/>
        <w:rPr>
          <w:rFonts w:asciiTheme="minorHAnsi" w:hAnsiTheme="minorHAnsi"/>
          <w:sz w:val="22"/>
          <w:szCs w:val="22"/>
        </w:rPr>
      </w:pPr>
      <w:r w:rsidRPr="00EF1A7C">
        <w:rPr>
          <w:rFonts w:asciiTheme="minorHAnsi" w:hAnsiTheme="minorHAnsi"/>
          <w:sz w:val="22"/>
          <w:szCs w:val="22"/>
        </w:rPr>
        <w:t>El mantenimiento preventivo se refiere a la actividad que debe realizarse de acuerdo a un calendario previamente establecido, considerando las recomendaciones del fabricante de los equipos. Así como pruebas eléctricas a instalaciones y equipamiento rutinarias.</w:t>
      </w:r>
    </w:p>
    <w:p w:rsidR="00EF1A7C" w:rsidRPr="00EF1A7C" w:rsidRDefault="00EF1A7C" w:rsidP="00EF1A7C">
      <w:pPr>
        <w:pStyle w:val="Prrafodelista"/>
        <w:numPr>
          <w:ilvl w:val="0"/>
          <w:numId w:val="46"/>
        </w:numPr>
        <w:ind w:left="709" w:hanging="349"/>
        <w:contextualSpacing/>
        <w:jc w:val="both"/>
        <w:rPr>
          <w:rFonts w:asciiTheme="minorHAnsi" w:hAnsiTheme="minorHAnsi"/>
          <w:sz w:val="22"/>
          <w:szCs w:val="22"/>
        </w:rPr>
      </w:pPr>
      <w:r w:rsidRPr="00EF1A7C">
        <w:rPr>
          <w:rFonts w:asciiTheme="minorHAnsi" w:hAnsiTheme="minorHAnsi"/>
          <w:sz w:val="22"/>
          <w:szCs w:val="22"/>
        </w:rPr>
        <w:t xml:space="preserve">El mantenimiento correctivo se refiere a aquel que repara o corrige averías o defectos localizados y/o observados a equipamiento e instalaciones, al reemplazo de la o las partes de alguno de los equipos, que se hayan dañado o desgastado, por partes nuevas y originales. </w:t>
      </w:r>
    </w:p>
    <w:p w:rsidR="00EF1A7C" w:rsidRPr="00EF1A7C" w:rsidRDefault="00EF1A7C" w:rsidP="00EF1A7C">
      <w:pPr>
        <w:jc w:val="both"/>
        <w:rPr>
          <w:rFonts w:asciiTheme="minorHAnsi" w:hAnsiTheme="minorHAnsi"/>
          <w:sz w:val="22"/>
          <w:szCs w:val="22"/>
        </w:rPr>
      </w:pPr>
    </w:p>
    <w:p w:rsidR="00EF1A7C" w:rsidRPr="00EF1A7C" w:rsidRDefault="00EF1A7C" w:rsidP="00EF1A7C">
      <w:pPr>
        <w:jc w:val="both"/>
        <w:rPr>
          <w:rFonts w:asciiTheme="minorHAnsi" w:hAnsiTheme="minorHAnsi"/>
          <w:sz w:val="22"/>
          <w:szCs w:val="22"/>
        </w:rPr>
      </w:pPr>
      <w:r w:rsidRPr="00EF1A7C">
        <w:rPr>
          <w:rFonts w:asciiTheme="minorHAnsi" w:hAnsiTheme="minorHAnsi"/>
          <w:sz w:val="22"/>
          <w:szCs w:val="22"/>
        </w:rPr>
        <w:t>Tanto el mantenimiento preventivo como el correctivo deberán ser realizados por cuenta del proveedor, empleando refacciones nuevas y originales, a efecto de que se garantice la operación en óptimas condiciones y duración de los equipos. Se debe asegurar que sea por personal capacitado.</w:t>
      </w:r>
    </w:p>
    <w:p w:rsidR="00EF1A7C" w:rsidRPr="00EF1A7C" w:rsidRDefault="00EF1A7C" w:rsidP="00EF1A7C">
      <w:pPr>
        <w:jc w:val="both"/>
        <w:rPr>
          <w:rFonts w:asciiTheme="minorHAnsi" w:hAnsiTheme="minorHAnsi"/>
          <w:sz w:val="22"/>
          <w:szCs w:val="22"/>
        </w:rPr>
      </w:pPr>
    </w:p>
    <w:p w:rsidR="00EF1A7C" w:rsidRPr="00EF1A7C" w:rsidRDefault="00EF1A7C" w:rsidP="00EF1A7C">
      <w:pPr>
        <w:jc w:val="both"/>
        <w:rPr>
          <w:rFonts w:asciiTheme="minorHAnsi" w:hAnsiTheme="minorHAnsi"/>
          <w:sz w:val="22"/>
          <w:szCs w:val="22"/>
        </w:rPr>
      </w:pPr>
      <w:r w:rsidRPr="00EF1A7C">
        <w:rPr>
          <w:rFonts w:asciiTheme="minorHAnsi" w:hAnsiTheme="minorHAnsi"/>
          <w:sz w:val="22"/>
          <w:szCs w:val="22"/>
        </w:rPr>
        <w:t xml:space="preserve">El proveedor deberá proporcionar el servicio de mantenimiento preventivo y correctivo y actualizaciones correspondientes para las máquinas cicladoras, equipo adicional, sistema de información, programas de cómputo asociados y mobiliario. </w:t>
      </w:r>
    </w:p>
    <w:p w:rsidR="00EF1A7C" w:rsidRPr="00EF1A7C" w:rsidRDefault="00EF1A7C" w:rsidP="00EF1A7C">
      <w:pPr>
        <w:jc w:val="both"/>
        <w:rPr>
          <w:rFonts w:asciiTheme="minorHAnsi" w:hAnsiTheme="minorHAnsi"/>
          <w:sz w:val="22"/>
          <w:szCs w:val="22"/>
        </w:rPr>
      </w:pPr>
    </w:p>
    <w:p w:rsidR="00EF1A7C" w:rsidRPr="00EF1A7C" w:rsidRDefault="00EF1A7C" w:rsidP="00EF1A7C">
      <w:pPr>
        <w:jc w:val="both"/>
        <w:rPr>
          <w:rFonts w:asciiTheme="minorHAnsi" w:hAnsiTheme="minorHAnsi"/>
          <w:sz w:val="22"/>
          <w:szCs w:val="22"/>
        </w:rPr>
      </w:pPr>
      <w:r w:rsidRPr="00EF1A7C">
        <w:rPr>
          <w:rFonts w:asciiTheme="minorHAnsi" w:hAnsiTheme="minorHAnsi"/>
          <w:sz w:val="22"/>
          <w:szCs w:val="22"/>
        </w:rPr>
        <w:t xml:space="preserve">Para el caso de fallas en los equipos, sistema de información y programas de cómputo asociados, el proveedor deberá tener una respuesta en un tiempo no mayor a 6 horas. Brindar asistencia técnica dentro de un lapso no mayor a 6 horas y efectuar las reparaciones necesarias correctivas específicas correspondientes en un lapso no mayor de 24 horas, estos tiempos son contados partir de la notificación del derechohabiente o de la Institución al proveedor, posteriores al reporte escrito recibido por cualquier vía: electrónica, telefónica (el deberá de asignar un numero de reporte) y/o personal adjunto a constancia escrita.  </w:t>
      </w:r>
    </w:p>
    <w:p w:rsidR="00EF1A7C" w:rsidRPr="00EF1A7C" w:rsidRDefault="00EF1A7C" w:rsidP="00EF1A7C">
      <w:pPr>
        <w:jc w:val="both"/>
        <w:rPr>
          <w:rFonts w:asciiTheme="minorHAnsi" w:hAnsiTheme="minorHAnsi"/>
          <w:sz w:val="22"/>
          <w:szCs w:val="22"/>
        </w:rPr>
      </w:pPr>
    </w:p>
    <w:p w:rsidR="00EF1A7C" w:rsidRPr="00EF1A7C" w:rsidRDefault="00EF1A7C" w:rsidP="00EF1A7C">
      <w:pPr>
        <w:jc w:val="both"/>
        <w:rPr>
          <w:rFonts w:asciiTheme="minorHAnsi" w:hAnsiTheme="minorHAnsi"/>
          <w:sz w:val="22"/>
          <w:szCs w:val="22"/>
        </w:rPr>
      </w:pPr>
      <w:r w:rsidRPr="00EF1A7C">
        <w:rPr>
          <w:rFonts w:asciiTheme="minorHAnsi" w:hAnsiTheme="minorHAnsi"/>
          <w:sz w:val="22"/>
          <w:szCs w:val="22"/>
        </w:rPr>
        <w:t xml:space="preserve">Si la reparación del mismo excede dicho número de días, durante su reparación el proveedor deberá proporcionar un equipo de respaldo similar o de superiores características a la unidad afectada para la continuidad de la atención durante el periodo del contrato. </w:t>
      </w:r>
    </w:p>
    <w:p w:rsidR="00EF1A7C" w:rsidRPr="00EF1A7C" w:rsidRDefault="00EF1A7C" w:rsidP="00EF1A7C">
      <w:pPr>
        <w:jc w:val="both"/>
        <w:rPr>
          <w:rFonts w:asciiTheme="minorHAnsi" w:hAnsiTheme="minorHAnsi"/>
          <w:sz w:val="22"/>
          <w:szCs w:val="22"/>
        </w:rPr>
      </w:pPr>
    </w:p>
    <w:p w:rsidR="00EF1A7C" w:rsidRPr="00EF1A7C" w:rsidRDefault="00EF1A7C" w:rsidP="00EF1A7C">
      <w:pPr>
        <w:jc w:val="both"/>
        <w:rPr>
          <w:rFonts w:asciiTheme="minorHAnsi" w:hAnsiTheme="minorHAnsi"/>
          <w:sz w:val="22"/>
          <w:szCs w:val="22"/>
        </w:rPr>
      </w:pPr>
      <w:r w:rsidRPr="00EF1A7C">
        <w:rPr>
          <w:rFonts w:asciiTheme="minorHAnsi" w:hAnsiTheme="minorHAnsi"/>
          <w:sz w:val="22"/>
          <w:szCs w:val="22"/>
        </w:rPr>
        <w:t>En caso de que no sea factible proporcionar un equipo de respaldo, el proveedor adjudicado será responsable de proporcionar por su cuenta y cargo los servicios que se interrumpan.</w:t>
      </w:r>
    </w:p>
    <w:p w:rsidR="00EF1A7C" w:rsidRPr="00EF1A7C" w:rsidRDefault="00EF1A7C" w:rsidP="00EF1A7C">
      <w:pPr>
        <w:jc w:val="both"/>
        <w:rPr>
          <w:rFonts w:asciiTheme="minorHAnsi" w:hAnsiTheme="minorHAnsi"/>
          <w:sz w:val="22"/>
          <w:szCs w:val="22"/>
        </w:rPr>
      </w:pPr>
    </w:p>
    <w:p w:rsidR="00EF1A7C" w:rsidRPr="00EF1A7C" w:rsidRDefault="00EF1A7C" w:rsidP="00EF1A7C">
      <w:pPr>
        <w:jc w:val="both"/>
        <w:rPr>
          <w:rFonts w:asciiTheme="minorHAnsi" w:hAnsiTheme="minorHAnsi"/>
          <w:sz w:val="22"/>
          <w:szCs w:val="22"/>
        </w:rPr>
      </w:pPr>
      <w:r w:rsidRPr="00EF1A7C">
        <w:rPr>
          <w:rFonts w:asciiTheme="minorHAnsi" w:hAnsiTheme="minorHAnsi"/>
          <w:sz w:val="22"/>
          <w:szCs w:val="22"/>
        </w:rPr>
        <w:t>El Proveedor, durante la vigencia de la garantía de los bienes, deberá realizar las actualizaciones respectivas del software, que permita mantener actualizado el equipo, sin costo adicional.</w:t>
      </w:r>
    </w:p>
    <w:p w:rsidR="00EF1A7C" w:rsidRPr="00EF1A7C" w:rsidRDefault="00EF1A7C" w:rsidP="00EF1A7C">
      <w:pPr>
        <w:jc w:val="both"/>
        <w:rPr>
          <w:rFonts w:asciiTheme="minorHAnsi" w:hAnsiTheme="minorHAnsi"/>
          <w:sz w:val="22"/>
          <w:szCs w:val="22"/>
        </w:rPr>
      </w:pPr>
    </w:p>
    <w:p w:rsidR="00EF1A7C" w:rsidRPr="00EF1A7C" w:rsidRDefault="00EF1A7C" w:rsidP="00EF1A7C">
      <w:pPr>
        <w:jc w:val="both"/>
        <w:rPr>
          <w:rFonts w:asciiTheme="minorHAnsi" w:hAnsiTheme="minorHAnsi"/>
          <w:sz w:val="22"/>
          <w:szCs w:val="22"/>
        </w:rPr>
      </w:pPr>
      <w:r w:rsidRPr="00EF1A7C">
        <w:rPr>
          <w:rFonts w:asciiTheme="minorHAnsi" w:hAnsiTheme="minorHAnsi"/>
          <w:sz w:val="22"/>
          <w:szCs w:val="22"/>
        </w:rPr>
        <w:t xml:space="preserve">En caso de desgaste o averías del mobiliario el proveedor se hace responsable de la reparación y de reemplazar el equipo u objeto en el tiempo de ausencia para no verse afectado las citas programadas.  </w:t>
      </w:r>
    </w:p>
    <w:p w:rsidR="00EF1A7C" w:rsidRPr="00EF1A7C" w:rsidRDefault="00EF1A7C" w:rsidP="00EF1A7C">
      <w:pPr>
        <w:jc w:val="both"/>
        <w:rPr>
          <w:rFonts w:asciiTheme="minorHAnsi" w:hAnsiTheme="minorHAnsi"/>
          <w:sz w:val="22"/>
          <w:szCs w:val="22"/>
        </w:rPr>
      </w:pPr>
    </w:p>
    <w:p w:rsidR="00EF1A7C" w:rsidRPr="00EF1A7C" w:rsidRDefault="00EF1A7C" w:rsidP="00EF1A7C">
      <w:pPr>
        <w:pStyle w:val="Prrafodelista"/>
        <w:numPr>
          <w:ilvl w:val="1"/>
          <w:numId w:val="43"/>
        </w:numPr>
        <w:ind w:left="0"/>
        <w:contextualSpacing/>
        <w:jc w:val="both"/>
        <w:rPr>
          <w:rFonts w:asciiTheme="minorHAnsi" w:hAnsiTheme="minorHAnsi"/>
          <w:sz w:val="22"/>
          <w:szCs w:val="22"/>
        </w:rPr>
      </w:pPr>
      <w:r w:rsidRPr="00EF1A7C">
        <w:rPr>
          <w:rFonts w:asciiTheme="minorHAnsi" w:hAnsiTheme="minorHAnsi"/>
          <w:sz w:val="22"/>
          <w:szCs w:val="22"/>
          <w:u w:val="single"/>
        </w:rPr>
        <w:t>INSTALACIÓN</w:t>
      </w:r>
      <w:r w:rsidRPr="00EF1A7C">
        <w:rPr>
          <w:rFonts w:asciiTheme="minorHAnsi" w:hAnsiTheme="minorHAnsi"/>
          <w:sz w:val="22"/>
          <w:szCs w:val="22"/>
        </w:rPr>
        <w:t xml:space="preserve">. El proveedor deberá entregar junto con los bienes, un acta administrativa circunstanciada de entrega, recepción, instalación, puesta en marcha y capacitación de personal, además de la siguiente papelería: </w:t>
      </w:r>
    </w:p>
    <w:p w:rsidR="00EF1A7C" w:rsidRPr="00EF1A7C" w:rsidRDefault="00EF1A7C" w:rsidP="00EF1A7C">
      <w:pPr>
        <w:pStyle w:val="Prrafodelista"/>
        <w:numPr>
          <w:ilvl w:val="2"/>
          <w:numId w:val="45"/>
        </w:numPr>
        <w:ind w:left="567" w:hanging="279"/>
        <w:contextualSpacing/>
        <w:jc w:val="both"/>
        <w:rPr>
          <w:rFonts w:asciiTheme="minorHAnsi" w:hAnsiTheme="minorHAnsi"/>
          <w:sz w:val="22"/>
          <w:szCs w:val="22"/>
        </w:rPr>
      </w:pPr>
      <w:r w:rsidRPr="00EF1A7C">
        <w:rPr>
          <w:rFonts w:asciiTheme="minorHAnsi" w:hAnsiTheme="minorHAnsi"/>
          <w:sz w:val="22"/>
          <w:szCs w:val="22"/>
        </w:rPr>
        <w:t>Original carta garantía con datos para contactar al proveedor.</w:t>
      </w:r>
    </w:p>
    <w:p w:rsidR="00EF1A7C" w:rsidRPr="00EF1A7C" w:rsidRDefault="00EF1A7C" w:rsidP="00EF1A7C">
      <w:pPr>
        <w:pStyle w:val="Prrafodelista"/>
        <w:numPr>
          <w:ilvl w:val="2"/>
          <w:numId w:val="45"/>
        </w:numPr>
        <w:ind w:left="567" w:hanging="279"/>
        <w:contextualSpacing/>
        <w:jc w:val="both"/>
        <w:rPr>
          <w:rFonts w:asciiTheme="minorHAnsi" w:hAnsiTheme="minorHAnsi"/>
          <w:sz w:val="22"/>
          <w:szCs w:val="22"/>
        </w:rPr>
      </w:pPr>
      <w:r w:rsidRPr="00EF1A7C">
        <w:rPr>
          <w:rFonts w:asciiTheme="minorHAnsi" w:hAnsiTheme="minorHAnsi"/>
          <w:sz w:val="22"/>
          <w:szCs w:val="22"/>
        </w:rPr>
        <w:t>Original programa de mantenimiento preventivo con todas sus fechas y rutinas de actividades a realizar.</w:t>
      </w:r>
    </w:p>
    <w:p w:rsidR="00EF1A7C" w:rsidRPr="00EF1A7C" w:rsidRDefault="00EF1A7C" w:rsidP="00EF1A7C">
      <w:pPr>
        <w:pStyle w:val="Prrafodelista"/>
        <w:numPr>
          <w:ilvl w:val="2"/>
          <w:numId w:val="45"/>
        </w:numPr>
        <w:ind w:left="567" w:hanging="279"/>
        <w:contextualSpacing/>
        <w:jc w:val="both"/>
        <w:rPr>
          <w:rFonts w:asciiTheme="minorHAnsi" w:hAnsiTheme="minorHAnsi"/>
          <w:sz w:val="22"/>
          <w:szCs w:val="22"/>
        </w:rPr>
      </w:pPr>
      <w:r w:rsidRPr="00EF1A7C">
        <w:rPr>
          <w:rFonts w:asciiTheme="minorHAnsi" w:hAnsiTheme="minorHAnsi"/>
          <w:sz w:val="22"/>
          <w:szCs w:val="22"/>
        </w:rPr>
        <w:t>Original orden de servicio de instalación.</w:t>
      </w:r>
    </w:p>
    <w:p w:rsidR="00EF1A7C" w:rsidRPr="00EF1A7C" w:rsidRDefault="00EF1A7C" w:rsidP="00EF1A7C">
      <w:pPr>
        <w:pStyle w:val="Prrafodelista"/>
        <w:numPr>
          <w:ilvl w:val="2"/>
          <w:numId w:val="45"/>
        </w:numPr>
        <w:ind w:left="567" w:hanging="279"/>
        <w:contextualSpacing/>
        <w:jc w:val="both"/>
        <w:rPr>
          <w:rFonts w:asciiTheme="minorHAnsi" w:hAnsiTheme="minorHAnsi"/>
          <w:sz w:val="22"/>
          <w:szCs w:val="22"/>
        </w:rPr>
      </w:pPr>
      <w:r w:rsidRPr="00EF1A7C">
        <w:rPr>
          <w:rFonts w:asciiTheme="minorHAnsi" w:hAnsiTheme="minorHAnsi"/>
          <w:sz w:val="22"/>
          <w:szCs w:val="22"/>
        </w:rPr>
        <w:t>Original listado de personal capacitado.</w:t>
      </w:r>
    </w:p>
    <w:p w:rsidR="00EF1A7C" w:rsidRPr="00EF1A7C" w:rsidRDefault="00EF1A7C" w:rsidP="00EF1A7C">
      <w:pPr>
        <w:pStyle w:val="Prrafodelista"/>
        <w:numPr>
          <w:ilvl w:val="2"/>
          <w:numId w:val="45"/>
        </w:numPr>
        <w:ind w:left="567" w:hanging="279"/>
        <w:contextualSpacing/>
        <w:jc w:val="both"/>
        <w:rPr>
          <w:rFonts w:asciiTheme="minorHAnsi" w:hAnsiTheme="minorHAnsi"/>
          <w:sz w:val="22"/>
          <w:szCs w:val="22"/>
        </w:rPr>
      </w:pPr>
      <w:r w:rsidRPr="00EF1A7C">
        <w:rPr>
          <w:rFonts w:asciiTheme="minorHAnsi" w:hAnsiTheme="minorHAnsi"/>
          <w:sz w:val="22"/>
          <w:szCs w:val="22"/>
        </w:rPr>
        <w:t xml:space="preserve">Manual de usuario en español (1 impreso y 1 CD-ROM o USB). </w:t>
      </w:r>
    </w:p>
    <w:p w:rsidR="00EF1A7C" w:rsidRPr="00EF1A7C" w:rsidRDefault="00EF1A7C" w:rsidP="00EF1A7C">
      <w:pPr>
        <w:jc w:val="both"/>
        <w:rPr>
          <w:rFonts w:asciiTheme="minorHAnsi" w:hAnsiTheme="minorHAnsi"/>
          <w:sz w:val="22"/>
          <w:szCs w:val="22"/>
        </w:rPr>
      </w:pPr>
    </w:p>
    <w:p w:rsidR="00EF1A7C" w:rsidRPr="00EF1A7C" w:rsidRDefault="00EF1A7C" w:rsidP="00EF1A7C">
      <w:pPr>
        <w:jc w:val="both"/>
        <w:rPr>
          <w:rFonts w:asciiTheme="minorHAnsi" w:hAnsiTheme="minorHAnsi"/>
          <w:sz w:val="22"/>
          <w:szCs w:val="22"/>
        </w:rPr>
      </w:pPr>
      <w:r w:rsidRPr="00EF1A7C">
        <w:rPr>
          <w:rFonts w:asciiTheme="minorHAnsi" w:hAnsiTheme="minorHAnsi"/>
          <w:sz w:val="22"/>
          <w:szCs w:val="22"/>
        </w:rPr>
        <w:t>Cabe resaltar que mientras no se cumpla con las condiciones de la prestación del servicio establecidas en las presentes bases, la institución no dará por aceptado el servicio.</w:t>
      </w:r>
      <w:r w:rsidRPr="00EF1A7C">
        <w:rPr>
          <w:rFonts w:asciiTheme="minorHAnsi" w:hAnsiTheme="minorHAnsi"/>
          <w:sz w:val="22"/>
          <w:szCs w:val="22"/>
        </w:rPr>
        <w:br w:type="page"/>
      </w:r>
    </w:p>
    <w:p w:rsidR="00EF1A7C" w:rsidRPr="00EF1A7C" w:rsidRDefault="00EF1A7C" w:rsidP="00EF1A7C">
      <w:pPr>
        <w:jc w:val="center"/>
        <w:rPr>
          <w:rFonts w:asciiTheme="minorHAnsi" w:hAnsiTheme="minorHAnsi"/>
          <w:b/>
          <w:sz w:val="22"/>
          <w:szCs w:val="22"/>
        </w:rPr>
      </w:pPr>
      <w:r w:rsidRPr="00EF1A7C">
        <w:rPr>
          <w:rFonts w:asciiTheme="minorHAnsi" w:hAnsiTheme="minorHAnsi"/>
          <w:b/>
          <w:sz w:val="22"/>
          <w:szCs w:val="22"/>
        </w:rPr>
        <w:t>PRODUCTOS PARA LA APLICACIÓN DE DIÁLISIS PERITONEAL AUTOMATIZADA (DPA):</w:t>
      </w:r>
    </w:p>
    <w:p w:rsidR="00EF1A7C" w:rsidRPr="00EF1A7C" w:rsidRDefault="00EF1A7C" w:rsidP="00EF1A7C">
      <w:pPr>
        <w:jc w:val="center"/>
        <w:rPr>
          <w:rFonts w:asciiTheme="minorHAnsi" w:hAnsiTheme="minorHAnsi"/>
          <w:b/>
          <w:sz w:val="22"/>
          <w:szCs w:val="22"/>
        </w:rPr>
      </w:pPr>
    </w:p>
    <w:tbl>
      <w:tblPr>
        <w:tblStyle w:val="Tablaconcuadrcula"/>
        <w:tblW w:w="5000" w:type="pct"/>
        <w:tblLook w:val="04A0" w:firstRow="1" w:lastRow="0" w:firstColumn="1" w:lastColumn="0" w:noHBand="0" w:noVBand="1"/>
      </w:tblPr>
      <w:tblGrid>
        <w:gridCol w:w="2261"/>
        <w:gridCol w:w="7311"/>
      </w:tblGrid>
      <w:tr w:rsidR="00EF1A7C" w:rsidRPr="00EF1A7C" w:rsidTr="00EF1A7C">
        <w:tc>
          <w:tcPr>
            <w:tcW w:w="1181" w:type="pct"/>
            <w:vAlign w:val="center"/>
          </w:tcPr>
          <w:p w:rsidR="00EF1A7C" w:rsidRPr="00EF1A7C" w:rsidRDefault="00EF1A7C" w:rsidP="00127CC5">
            <w:pPr>
              <w:jc w:val="center"/>
              <w:rPr>
                <w:rFonts w:asciiTheme="minorHAnsi" w:hAnsiTheme="minorHAnsi"/>
                <w:color w:val="000000"/>
                <w:sz w:val="22"/>
                <w:szCs w:val="22"/>
              </w:rPr>
            </w:pPr>
            <w:r w:rsidRPr="00EF1A7C">
              <w:rPr>
                <w:rFonts w:asciiTheme="minorHAnsi" w:hAnsiTheme="minorHAnsi"/>
                <w:color w:val="000000"/>
                <w:sz w:val="22"/>
                <w:szCs w:val="22"/>
              </w:rPr>
              <w:t>Nombre</w:t>
            </w:r>
          </w:p>
        </w:tc>
        <w:tc>
          <w:tcPr>
            <w:tcW w:w="3819" w:type="pct"/>
            <w:vAlign w:val="center"/>
          </w:tcPr>
          <w:p w:rsidR="00EF1A7C" w:rsidRPr="00EF1A7C" w:rsidRDefault="00EF1A7C" w:rsidP="00127CC5">
            <w:pPr>
              <w:jc w:val="center"/>
              <w:rPr>
                <w:rFonts w:asciiTheme="minorHAnsi" w:hAnsiTheme="minorHAnsi"/>
                <w:color w:val="000000"/>
                <w:sz w:val="22"/>
                <w:szCs w:val="22"/>
              </w:rPr>
            </w:pPr>
            <w:r w:rsidRPr="00EF1A7C">
              <w:rPr>
                <w:rFonts w:asciiTheme="minorHAnsi" w:hAnsiTheme="minorHAnsi"/>
                <w:bCs/>
                <w:color w:val="000000"/>
                <w:sz w:val="22"/>
                <w:szCs w:val="22"/>
              </w:rPr>
              <w:t>Presentación/Descripción</w:t>
            </w:r>
          </w:p>
        </w:tc>
      </w:tr>
      <w:tr w:rsidR="00EF1A7C" w:rsidRPr="00EF1A7C" w:rsidTr="00EF1A7C">
        <w:tc>
          <w:tcPr>
            <w:tcW w:w="1181" w:type="pct"/>
            <w:vAlign w:val="center"/>
          </w:tcPr>
          <w:p w:rsidR="00EF1A7C" w:rsidRPr="00EF1A7C" w:rsidRDefault="00EF1A7C" w:rsidP="00127CC5">
            <w:pPr>
              <w:rPr>
                <w:rFonts w:asciiTheme="minorHAnsi" w:hAnsiTheme="minorHAnsi"/>
                <w:color w:val="000000"/>
                <w:sz w:val="22"/>
                <w:szCs w:val="22"/>
              </w:rPr>
            </w:pPr>
            <w:r w:rsidRPr="00EF1A7C">
              <w:rPr>
                <w:rFonts w:asciiTheme="minorHAnsi" w:hAnsiTheme="minorHAnsi"/>
                <w:color w:val="000000"/>
                <w:sz w:val="22"/>
                <w:szCs w:val="22"/>
              </w:rPr>
              <w:t>SOLUCIÓN PARA DIÁLISIS PERITONEAL. BAJA EN MAGNESIO AL 1.5%</w:t>
            </w:r>
          </w:p>
        </w:tc>
        <w:tc>
          <w:tcPr>
            <w:tcW w:w="3819" w:type="pct"/>
            <w:vAlign w:val="center"/>
          </w:tcPr>
          <w:p w:rsidR="00EF1A7C" w:rsidRPr="00EF1A7C" w:rsidRDefault="00EF1A7C" w:rsidP="00127CC5">
            <w:pPr>
              <w:jc w:val="both"/>
              <w:rPr>
                <w:rFonts w:asciiTheme="minorHAnsi" w:hAnsiTheme="minorHAnsi"/>
                <w:color w:val="000000"/>
                <w:sz w:val="22"/>
                <w:szCs w:val="22"/>
              </w:rPr>
            </w:pPr>
            <w:r w:rsidRPr="00EF1A7C">
              <w:rPr>
                <w:rFonts w:asciiTheme="minorHAnsi" w:hAnsiTheme="minorHAnsi"/>
                <w:color w:val="000000"/>
                <w:spacing w:val="1"/>
                <w:sz w:val="22"/>
                <w:szCs w:val="22"/>
              </w:rPr>
              <w:t>Solución para diálisis peritoneal al 1.5%. Cada 100 ml contienen: glucosa monohidratada: 1.5 gr. cloruro de sodio 538 mg. cloruro de calcio dihidratado 25.7 mg. cloruro de magnesio hexahidratado 5.08 mg. lactato de sodio 448 mg. agua inyectable c.b.p. 100 ml. pH 5.0-5.6. Miliequivalentes por litro: sodio 132. Calcio 3.5. Magnesio 0.5. Cloruro 96. Lactato 40. Miliosmoles aproximados por litro 347. Envase con bolsa de 6 000 ml.</w:t>
            </w:r>
          </w:p>
        </w:tc>
      </w:tr>
      <w:tr w:rsidR="00EF1A7C" w:rsidRPr="00EF1A7C" w:rsidTr="00EF1A7C">
        <w:tc>
          <w:tcPr>
            <w:tcW w:w="1181" w:type="pct"/>
            <w:vAlign w:val="center"/>
          </w:tcPr>
          <w:p w:rsidR="00EF1A7C" w:rsidRPr="00EF1A7C" w:rsidRDefault="00EF1A7C" w:rsidP="00127CC5">
            <w:pPr>
              <w:rPr>
                <w:rFonts w:asciiTheme="minorHAnsi" w:hAnsiTheme="minorHAnsi"/>
                <w:color w:val="000000"/>
                <w:sz w:val="22"/>
                <w:szCs w:val="22"/>
              </w:rPr>
            </w:pPr>
            <w:r w:rsidRPr="00EF1A7C">
              <w:rPr>
                <w:rFonts w:asciiTheme="minorHAnsi" w:hAnsiTheme="minorHAnsi"/>
                <w:color w:val="000000"/>
                <w:sz w:val="22"/>
                <w:szCs w:val="22"/>
              </w:rPr>
              <w:t>SOLUCIÓN PARA DIÁLISIS PERITONEAL. BAJA EN MAGNESIO AL 2.5%</w:t>
            </w:r>
          </w:p>
        </w:tc>
        <w:tc>
          <w:tcPr>
            <w:tcW w:w="3819" w:type="pct"/>
            <w:vAlign w:val="center"/>
          </w:tcPr>
          <w:p w:rsidR="00EF1A7C" w:rsidRPr="00EF1A7C" w:rsidRDefault="00EF1A7C" w:rsidP="00127CC5">
            <w:pPr>
              <w:jc w:val="both"/>
              <w:rPr>
                <w:rFonts w:asciiTheme="minorHAnsi" w:hAnsiTheme="minorHAnsi"/>
                <w:color w:val="000000"/>
                <w:sz w:val="22"/>
                <w:szCs w:val="22"/>
              </w:rPr>
            </w:pPr>
            <w:r w:rsidRPr="00EF1A7C">
              <w:rPr>
                <w:rFonts w:asciiTheme="minorHAnsi" w:hAnsiTheme="minorHAnsi"/>
                <w:color w:val="000000"/>
                <w:spacing w:val="1"/>
                <w:sz w:val="22"/>
                <w:szCs w:val="22"/>
              </w:rPr>
              <w:t>Solución para diálisis peritoneal al 2.5%. Cada 100 ml contienen: glucosa monohidratada 2.5 gr. cloruro de sodio 538 mg. cloruro de calcio dihidratado 25.7 mg. cloruro de magnesio hexahidratado 5.08 mg. lactato de sodio 448 mg. agua inyectable c.b.p 100 ml. pH 5.0-5.6. Miliequivalentes por litro: sodio 132. Calcio 3.5. Magnesio 0.5. Cloruro 96. Lactato 40. Miliosmoles aproximados por litro 398. Envase con bolsa de 6 000 ml.</w:t>
            </w:r>
          </w:p>
        </w:tc>
      </w:tr>
      <w:tr w:rsidR="00EF1A7C" w:rsidRPr="00EF1A7C" w:rsidTr="00EF1A7C">
        <w:tc>
          <w:tcPr>
            <w:tcW w:w="1181" w:type="pct"/>
            <w:vAlign w:val="center"/>
          </w:tcPr>
          <w:p w:rsidR="00EF1A7C" w:rsidRPr="00EF1A7C" w:rsidRDefault="00EF1A7C" w:rsidP="00127CC5">
            <w:pPr>
              <w:rPr>
                <w:rFonts w:asciiTheme="minorHAnsi" w:hAnsiTheme="minorHAnsi"/>
                <w:color w:val="000000"/>
                <w:sz w:val="22"/>
                <w:szCs w:val="22"/>
              </w:rPr>
            </w:pPr>
            <w:r w:rsidRPr="00EF1A7C">
              <w:rPr>
                <w:rFonts w:asciiTheme="minorHAnsi" w:hAnsiTheme="minorHAnsi"/>
                <w:color w:val="000000"/>
                <w:sz w:val="22"/>
                <w:szCs w:val="22"/>
              </w:rPr>
              <w:t>SOLUCIÓN PARA DIÁLISIS PERITONEAL. BAJA EN MAGNESIO AL 4.25%</w:t>
            </w:r>
          </w:p>
        </w:tc>
        <w:tc>
          <w:tcPr>
            <w:tcW w:w="3819" w:type="pct"/>
            <w:vAlign w:val="center"/>
          </w:tcPr>
          <w:p w:rsidR="00EF1A7C" w:rsidRPr="00EF1A7C" w:rsidRDefault="00EF1A7C" w:rsidP="00127CC5">
            <w:pPr>
              <w:jc w:val="both"/>
              <w:rPr>
                <w:rFonts w:asciiTheme="minorHAnsi" w:hAnsiTheme="minorHAnsi"/>
                <w:color w:val="000000"/>
                <w:sz w:val="22"/>
                <w:szCs w:val="22"/>
              </w:rPr>
            </w:pPr>
            <w:r w:rsidRPr="00EF1A7C">
              <w:rPr>
                <w:rFonts w:asciiTheme="minorHAnsi" w:hAnsiTheme="minorHAnsi"/>
                <w:color w:val="000000"/>
                <w:spacing w:val="1"/>
                <w:sz w:val="22"/>
                <w:szCs w:val="22"/>
              </w:rPr>
              <w:t>Solución para diálisis peritoneal al 4.25%. Cada 100 ml contienen: glucosa monohidratada 4.25 gr. cloruro de sodio 538 mg. cloruro de calcio dihidratado 25.7 mg. cloruro de magnesio hexahidratado 5.08 mg. lactato de sodio 448 mg. agua inyectable c.b.p. 100 ml. pH 5.0-5.6. Miliequivalentes por litro: sodio 132. Calcio 3.5. Magnesio 0.5. Cloruro 96. Lactato 40. Miliosmoles aproximados por litro 486. Envase con bolsa de 6 000 ml.</w:t>
            </w:r>
          </w:p>
        </w:tc>
      </w:tr>
      <w:tr w:rsidR="00EF1A7C" w:rsidRPr="00EF1A7C" w:rsidTr="00EF1A7C">
        <w:tc>
          <w:tcPr>
            <w:tcW w:w="1181" w:type="pct"/>
            <w:vAlign w:val="center"/>
          </w:tcPr>
          <w:p w:rsidR="00EF1A7C" w:rsidRPr="00EF1A7C" w:rsidRDefault="00EF1A7C" w:rsidP="00127CC5">
            <w:pPr>
              <w:rPr>
                <w:rFonts w:asciiTheme="minorHAnsi" w:hAnsiTheme="minorHAnsi"/>
                <w:color w:val="000000"/>
                <w:sz w:val="22"/>
                <w:szCs w:val="22"/>
              </w:rPr>
            </w:pPr>
            <w:r w:rsidRPr="00EF1A7C">
              <w:rPr>
                <w:rFonts w:asciiTheme="minorHAnsi" w:hAnsiTheme="minorHAnsi"/>
                <w:color w:val="000000"/>
                <w:sz w:val="22"/>
                <w:szCs w:val="22"/>
              </w:rPr>
              <w:t>SOLUCIÓN PARA DIÁLISIS PERITONEAL CON ICODEXTRINA</w:t>
            </w:r>
          </w:p>
        </w:tc>
        <w:tc>
          <w:tcPr>
            <w:tcW w:w="3819" w:type="pct"/>
            <w:vAlign w:val="center"/>
          </w:tcPr>
          <w:p w:rsidR="00EF1A7C" w:rsidRPr="00EF1A7C" w:rsidRDefault="00EF1A7C" w:rsidP="00127CC5">
            <w:pPr>
              <w:jc w:val="both"/>
              <w:rPr>
                <w:rFonts w:asciiTheme="minorHAnsi" w:hAnsiTheme="minorHAnsi"/>
                <w:color w:val="000000"/>
                <w:sz w:val="22"/>
                <w:szCs w:val="22"/>
              </w:rPr>
            </w:pPr>
            <w:r w:rsidRPr="00EF1A7C">
              <w:rPr>
                <w:rFonts w:asciiTheme="minorHAnsi" w:hAnsiTheme="minorHAnsi"/>
                <w:color w:val="000000"/>
                <w:spacing w:val="1"/>
                <w:sz w:val="22"/>
                <w:szCs w:val="22"/>
              </w:rPr>
              <w:t>Solución para diálisis peritoneal con Icodextrina, cada 100 mililitros contiene: Icodextrina 7.50 g. Cloruro de sodio 0.54 g. Lactato de sodio 0.45g. Cloruro de calcio dihidratado 0.052 g. Cloruro de magnesio hexahidratado 0.0051g. Envase con bolsa de 2 000 ml.</w:t>
            </w:r>
          </w:p>
        </w:tc>
      </w:tr>
    </w:tbl>
    <w:p w:rsidR="00EF1A7C" w:rsidRPr="00EF1A7C" w:rsidRDefault="00EF1A7C" w:rsidP="00EF1A7C">
      <w:pPr>
        <w:jc w:val="center"/>
        <w:rPr>
          <w:rFonts w:asciiTheme="minorHAnsi" w:hAnsiTheme="minorHAnsi"/>
          <w:b/>
          <w:sz w:val="22"/>
          <w:szCs w:val="22"/>
        </w:rPr>
      </w:pPr>
    </w:p>
    <w:p w:rsidR="00EF1A7C" w:rsidRPr="00EF1A7C" w:rsidRDefault="00EF1A7C" w:rsidP="00EF1A7C">
      <w:pPr>
        <w:jc w:val="both"/>
        <w:rPr>
          <w:rFonts w:asciiTheme="minorHAnsi" w:hAnsiTheme="minorHAnsi"/>
          <w:b/>
          <w:sz w:val="22"/>
          <w:szCs w:val="22"/>
        </w:rPr>
      </w:pPr>
      <w:r w:rsidRPr="00EF1A7C">
        <w:rPr>
          <w:rFonts w:asciiTheme="minorHAnsi" w:hAnsiTheme="minorHAnsi"/>
          <w:b/>
          <w:sz w:val="22"/>
          <w:szCs w:val="22"/>
        </w:rPr>
        <w:t>PRODUCTOS PARA LA APLICACIÓN DE DIÁLISIS PERITONEAL CONTINUA AMBULATORIA (DPCA):</w:t>
      </w:r>
    </w:p>
    <w:p w:rsidR="00EF1A7C" w:rsidRPr="00EF1A7C" w:rsidRDefault="00EF1A7C" w:rsidP="00EF1A7C">
      <w:pPr>
        <w:jc w:val="both"/>
        <w:rPr>
          <w:rFonts w:asciiTheme="minorHAnsi" w:hAnsiTheme="minorHAnsi"/>
          <w:b/>
          <w:sz w:val="22"/>
          <w:szCs w:val="22"/>
        </w:rPr>
      </w:pPr>
    </w:p>
    <w:tbl>
      <w:tblPr>
        <w:tblStyle w:val="Tablaconcuadrcula"/>
        <w:tblW w:w="0" w:type="auto"/>
        <w:tblLook w:val="04A0" w:firstRow="1" w:lastRow="0" w:firstColumn="1" w:lastColumn="0" w:noHBand="0" w:noVBand="1"/>
      </w:tblPr>
      <w:tblGrid>
        <w:gridCol w:w="2260"/>
        <w:gridCol w:w="7312"/>
      </w:tblGrid>
      <w:tr w:rsidR="00EF1A7C" w:rsidRPr="00EF1A7C" w:rsidTr="00EF1A7C">
        <w:tc>
          <w:tcPr>
            <w:tcW w:w="0" w:type="auto"/>
          </w:tcPr>
          <w:p w:rsidR="00EF1A7C" w:rsidRPr="00EF1A7C" w:rsidRDefault="00EF1A7C" w:rsidP="00127CC5">
            <w:pPr>
              <w:jc w:val="center"/>
              <w:rPr>
                <w:rFonts w:asciiTheme="minorHAnsi" w:hAnsiTheme="minorHAnsi"/>
                <w:sz w:val="22"/>
                <w:szCs w:val="22"/>
              </w:rPr>
            </w:pPr>
            <w:r w:rsidRPr="00EF1A7C">
              <w:rPr>
                <w:rFonts w:asciiTheme="minorHAnsi" w:hAnsiTheme="minorHAnsi"/>
                <w:sz w:val="22"/>
                <w:szCs w:val="22"/>
              </w:rPr>
              <w:t>Nombre</w:t>
            </w:r>
          </w:p>
        </w:tc>
        <w:tc>
          <w:tcPr>
            <w:tcW w:w="0" w:type="auto"/>
          </w:tcPr>
          <w:p w:rsidR="00EF1A7C" w:rsidRPr="00EF1A7C" w:rsidRDefault="00EF1A7C" w:rsidP="00127CC5">
            <w:pPr>
              <w:jc w:val="center"/>
              <w:rPr>
                <w:rFonts w:asciiTheme="minorHAnsi" w:hAnsiTheme="minorHAnsi"/>
                <w:sz w:val="22"/>
                <w:szCs w:val="22"/>
              </w:rPr>
            </w:pPr>
            <w:r w:rsidRPr="00EF1A7C">
              <w:rPr>
                <w:rFonts w:asciiTheme="minorHAnsi" w:hAnsiTheme="minorHAnsi"/>
                <w:sz w:val="22"/>
                <w:szCs w:val="22"/>
              </w:rPr>
              <w:t>Presentación/Descripción</w:t>
            </w:r>
          </w:p>
        </w:tc>
      </w:tr>
      <w:tr w:rsidR="00EF1A7C" w:rsidRPr="00EF1A7C" w:rsidTr="00EF1A7C">
        <w:tc>
          <w:tcPr>
            <w:tcW w:w="0" w:type="auto"/>
            <w:vAlign w:val="center"/>
          </w:tcPr>
          <w:p w:rsidR="00EF1A7C" w:rsidRPr="00EF1A7C" w:rsidRDefault="00EF1A7C" w:rsidP="00127CC5">
            <w:pPr>
              <w:rPr>
                <w:rFonts w:asciiTheme="minorHAnsi" w:hAnsiTheme="minorHAnsi"/>
                <w:sz w:val="22"/>
                <w:szCs w:val="22"/>
              </w:rPr>
            </w:pPr>
            <w:r w:rsidRPr="00EF1A7C">
              <w:rPr>
                <w:rFonts w:asciiTheme="minorHAnsi" w:hAnsiTheme="minorHAnsi"/>
                <w:sz w:val="22"/>
                <w:szCs w:val="22"/>
              </w:rPr>
              <w:t>SOLUCIÓN PARA DIÁLISIS PERITONEAL. BAJA EN MAGNESIO AL 1.5%</w:t>
            </w:r>
          </w:p>
        </w:tc>
        <w:tc>
          <w:tcPr>
            <w:tcW w:w="0" w:type="auto"/>
            <w:vAlign w:val="center"/>
          </w:tcPr>
          <w:p w:rsidR="00EF1A7C" w:rsidRPr="00EF1A7C" w:rsidRDefault="00EF1A7C" w:rsidP="00127CC5">
            <w:pPr>
              <w:jc w:val="both"/>
              <w:rPr>
                <w:rFonts w:asciiTheme="minorHAnsi" w:hAnsiTheme="minorHAnsi"/>
                <w:sz w:val="22"/>
                <w:szCs w:val="22"/>
              </w:rPr>
            </w:pPr>
            <w:r w:rsidRPr="00EF1A7C">
              <w:rPr>
                <w:rFonts w:asciiTheme="minorHAnsi" w:hAnsiTheme="minorHAnsi"/>
                <w:sz w:val="22"/>
                <w:szCs w:val="22"/>
              </w:rPr>
              <w:t>Solución para diálisis peritoneal al 1.5 %.  Cada 100 ml contienen: glucosa monohidratada: 1.5 gr. cloruro de sodio 538 mg. cloruro de calcio dihidratado 25.7 mg. cloruro de magnesio hexahidratado 5.08 mg. lactato de sodio 448 mg. agua inyectable c.b.p. 100 ml. pH 5.0 -5.6. Miliequivalentes por litro: sodio 132. Calcio 3.5magnesio 0.5 cloruro 96, lactato 40. Miliosmoles aproximados por litro 347. Envase con bolsa de 2 000 ml y con sistema integrado de tubería en "Y" y en el otro extremo bolsa de drenaje, con Línea de   transferencia con conector universal compatible y tapón con antiséptico.</w:t>
            </w:r>
          </w:p>
        </w:tc>
      </w:tr>
      <w:tr w:rsidR="00EF1A7C" w:rsidRPr="00EF1A7C" w:rsidTr="00EF1A7C">
        <w:tc>
          <w:tcPr>
            <w:tcW w:w="0" w:type="auto"/>
            <w:vAlign w:val="center"/>
          </w:tcPr>
          <w:p w:rsidR="00EF1A7C" w:rsidRPr="00EF1A7C" w:rsidRDefault="00EF1A7C" w:rsidP="00127CC5">
            <w:pPr>
              <w:rPr>
                <w:rFonts w:asciiTheme="minorHAnsi" w:hAnsiTheme="minorHAnsi"/>
                <w:sz w:val="22"/>
                <w:szCs w:val="22"/>
              </w:rPr>
            </w:pPr>
            <w:r w:rsidRPr="00EF1A7C">
              <w:rPr>
                <w:rFonts w:asciiTheme="minorHAnsi" w:hAnsiTheme="minorHAnsi"/>
                <w:sz w:val="22"/>
                <w:szCs w:val="22"/>
              </w:rPr>
              <w:t>SOLUCIÓN PARA DIÁLISIS PERITONEAL. BAJA EN MAGNESIO AL 2.5%</w:t>
            </w:r>
          </w:p>
        </w:tc>
        <w:tc>
          <w:tcPr>
            <w:tcW w:w="0" w:type="auto"/>
            <w:vAlign w:val="center"/>
          </w:tcPr>
          <w:p w:rsidR="00EF1A7C" w:rsidRPr="00EF1A7C" w:rsidRDefault="00EF1A7C" w:rsidP="00127CC5">
            <w:pPr>
              <w:jc w:val="both"/>
              <w:rPr>
                <w:rFonts w:asciiTheme="minorHAnsi" w:hAnsiTheme="minorHAnsi"/>
                <w:sz w:val="22"/>
                <w:szCs w:val="22"/>
              </w:rPr>
            </w:pPr>
            <w:r w:rsidRPr="00EF1A7C">
              <w:rPr>
                <w:rFonts w:asciiTheme="minorHAnsi" w:hAnsiTheme="minorHAnsi"/>
                <w:sz w:val="22"/>
                <w:szCs w:val="22"/>
              </w:rPr>
              <w:t>Solución para diálisis peritoneal al 4.25%. Cada 100 ml contienen: glucosa monohidratada 4.25 gr. cloruro de sodio 538 mg. cloruro de calcio dihidratado 25.7 mg. cloruro de magnesio hexahidratado 5.08 mg. lactato de sodio 448 mg. agua inyectable c.b.p 100 ml. pH 5.0-5.6. Mili equivalente por litro: sodio 132. Calcio 3.5. Magnesio 0.5. Cloruro 96, lactato 40. Miliosmoles aproximados por litro 398. Envase con bolsa de 2 000 ml y con sistema integrado de tubería en "Y" y en el otro extremo bolsa de drenaje, con Línea de transferencia con conector universal compatible y tapón con antiséptico.</w:t>
            </w:r>
          </w:p>
        </w:tc>
      </w:tr>
      <w:tr w:rsidR="00EF1A7C" w:rsidRPr="00EF1A7C" w:rsidTr="00EF1A7C">
        <w:tc>
          <w:tcPr>
            <w:tcW w:w="0" w:type="auto"/>
            <w:vAlign w:val="center"/>
          </w:tcPr>
          <w:p w:rsidR="00EF1A7C" w:rsidRPr="00EF1A7C" w:rsidRDefault="00EF1A7C" w:rsidP="00127CC5">
            <w:pPr>
              <w:rPr>
                <w:rFonts w:asciiTheme="minorHAnsi" w:hAnsiTheme="minorHAnsi"/>
                <w:sz w:val="22"/>
                <w:szCs w:val="22"/>
              </w:rPr>
            </w:pPr>
            <w:r w:rsidRPr="00EF1A7C">
              <w:rPr>
                <w:rFonts w:asciiTheme="minorHAnsi" w:hAnsiTheme="minorHAnsi"/>
                <w:sz w:val="22"/>
                <w:szCs w:val="22"/>
              </w:rPr>
              <w:t>SOLUCIÓN PARA DIÁLISIS PERITONEAL. BAJA EN MAGNESIO AL 4.25%</w:t>
            </w:r>
          </w:p>
        </w:tc>
        <w:tc>
          <w:tcPr>
            <w:tcW w:w="0" w:type="auto"/>
            <w:vAlign w:val="center"/>
          </w:tcPr>
          <w:p w:rsidR="00EF1A7C" w:rsidRPr="00EF1A7C" w:rsidRDefault="00EF1A7C" w:rsidP="00127CC5">
            <w:pPr>
              <w:jc w:val="both"/>
              <w:rPr>
                <w:rFonts w:asciiTheme="minorHAnsi" w:hAnsiTheme="minorHAnsi"/>
                <w:sz w:val="22"/>
                <w:szCs w:val="22"/>
              </w:rPr>
            </w:pPr>
            <w:r w:rsidRPr="00EF1A7C">
              <w:rPr>
                <w:rFonts w:asciiTheme="minorHAnsi" w:hAnsiTheme="minorHAnsi"/>
                <w:sz w:val="22"/>
                <w:szCs w:val="22"/>
              </w:rPr>
              <w:t>Solución para diálisis peritoneal al 4.25%. Cada 100 ml contienen: glucosa monohidratada 4.25 gr. cloruro de sodio 538 mg. cloruro de calcio dihidratado 25.7 mg. cloruro de magnesio hexahidratado 5.08 mg. lactato de sodio 448 mg. agua inyectable c.b.p 100 ml. pH 5.0-5.6. Mili equivalente por litro: sodio 132. Calcio 3.5. Magnesio 0.5. Cloruro 96. Lactato 40. Miliosmoles aproximados por litro 486. Envase con bolsa de 2 000 ml y con sistema integrado de tubería en "Y" y en el otro extremo bolsa de drenaje, con Línea de   transferencia con conector universal compatible y tapón con antiséptico.</w:t>
            </w:r>
          </w:p>
        </w:tc>
      </w:tr>
      <w:tr w:rsidR="00EF1A7C" w:rsidRPr="00EF1A7C" w:rsidTr="00EF1A7C">
        <w:trPr>
          <w:trHeight w:val="119"/>
        </w:trPr>
        <w:tc>
          <w:tcPr>
            <w:tcW w:w="0" w:type="auto"/>
            <w:vAlign w:val="center"/>
          </w:tcPr>
          <w:p w:rsidR="00EF1A7C" w:rsidRPr="00EF1A7C" w:rsidRDefault="00EF1A7C" w:rsidP="00127CC5">
            <w:pPr>
              <w:rPr>
                <w:rFonts w:asciiTheme="minorHAnsi" w:hAnsiTheme="minorHAnsi"/>
                <w:sz w:val="22"/>
                <w:szCs w:val="22"/>
              </w:rPr>
            </w:pPr>
            <w:r w:rsidRPr="00EF1A7C">
              <w:rPr>
                <w:rFonts w:asciiTheme="minorHAnsi" w:hAnsiTheme="minorHAnsi"/>
                <w:sz w:val="22"/>
                <w:szCs w:val="22"/>
              </w:rPr>
              <w:t>SOLUCIÓN PARA DIÁLISIS PERITONEAL CON ICODEXTRINA</w:t>
            </w:r>
          </w:p>
        </w:tc>
        <w:tc>
          <w:tcPr>
            <w:tcW w:w="0" w:type="auto"/>
            <w:vAlign w:val="center"/>
          </w:tcPr>
          <w:p w:rsidR="00EF1A7C" w:rsidRPr="00EF1A7C" w:rsidRDefault="00EF1A7C" w:rsidP="00127CC5">
            <w:pPr>
              <w:jc w:val="both"/>
              <w:rPr>
                <w:rFonts w:asciiTheme="minorHAnsi" w:hAnsiTheme="minorHAnsi"/>
                <w:sz w:val="22"/>
                <w:szCs w:val="22"/>
              </w:rPr>
            </w:pPr>
            <w:r w:rsidRPr="00EF1A7C">
              <w:rPr>
                <w:rFonts w:asciiTheme="minorHAnsi" w:hAnsiTheme="minorHAnsi"/>
                <w:sz w:val="22"/>
                <w:szCs w:val="22"/>
              </w:rPr>
              <w:t>Solución para diálisis peritoneal con Icodextrina, cada 100 mililitros contiene: Icodextrina 7.50 g. Cloruro de sodio 0.54 g. Lactato de sodio 0.45g. Cloruro de calcio dihidratado 0.052 g. Cloruro de magnesio hexahidratado 0.0051g. Envase con bolsa de 2 000 ml y con sistema integrado de tubería en "Y" y en el otro extremo bolsa de drenaje, con Línea de transferencia con conector universal compatible y tapón con antiséptico.</w:t>
            </w:r>
          </w:p>
        </w:tc>
      </w:tr>
    </w:tbl>
    <w:p w:rsidR="00EF1A7C" w:rsidRPr="00EF1A7C" w:rsidRDefault="00EF1A7C" w:rsidP="00EF1A7C">
      <w:pPr>
        <w:jc w:val="both"/>
        <w:rPr>
          <w:rFonts w:asciiTheme="minorHAnsi" w:hAnsiTheme="minorHAnsi"/>
          <w:b/>
          <w:sz w:val="22"/>
          <w:szCs w:val="22"/>
        </w:rPr>
      </w:pPr>
    </w:p>
    <w:p w:rsidR="00EF1A7C" w:rsidRPr="00EF1A7C" w:rsidRDefault="00EF1A7C" w:rsidP="00EF1A7C">
      <w:pPr>
        <w:jc w:val="center"/>
        <w:rPr>
          <w:rFonts w:asciiTheme="minorHAnsi" w:hAnsiTheme="minorHAnsi" w:cs="Arial"/>
          <w:b/>
          <w:sz w:val="22"/>
          <w:szCs w:val="22"/>
        </w:rPr>
      </w:pPr>
      <w:r w:rsidRPr="00EF1A7C">
        <w:rPr>
          <w:rFonts w:asciiTheme="minorHAnsi" w:hAnsiTheme="minorHAnsi" w:cs="Arial"/>
          <w:b/>
          <w:sz w:val="22"/>
          <w:szCs w:val="22"/>
        </w:rPr>
        <w:t>ACCESORIOS PARA LA TERAPIA DE DIÁLISIS.</w:t>
      </w:r>
    </w:p>
    <w:p w:rsidR="00EF1A7C" w:rsidRPr="00EF1A7C" w:rsidRDefault="00EF1A7C" w:rsidP="00EF1A7C">
      <w:pPr>
        <w:jc w:val="both"/>
        <w:rPr>
          <w:rFonts w:asciiTheme="minorHAnsi" w:hAnsiTheme="minorHAnsi" w:cs="Arial"/>
          <w:b/>
          <w:sz w:val="22"/>
          <w:szCs w:val="22"/>
        </w:rPr>
      </w:pPr>
    </w:p>
    <w:tbl>
      <w:tblPr>
        <w:tblStyle w:val="Tablaconcuadrcula"/>
        <w:tblW w:w="5000" w:type="pct"/>
        <w:tblLook w:val="04A0" w:firstRow="1" w:lastRow="0" w:firstColumn="1" w:lastColumn="0" w:noHBand="0" w:noVBand="1"/>
      </w:tblPr>
      <w:tblGrid>
        <w:gridCol w:w="2094"/>
        <w:gridCol w:w="1032"/>
        <w:gridCol w:w="6446"/>
      </w:tblGrid>
      <w:tr w:rsidR="00EF1A7C" w:rsidRPr="00EF1A7C" w:rsidTr="00EF1A7C">
        <w:tc>
          <w:tcPr>
            <w:tcW w:w="1094" w:type="pct"/>
          </w:tcPr>
          <w:p w:rsidR="00EF1A7C" w:rsidRPr="00EF1A7C" w:rsidRDefault="00EF1A7C" w:rsidP="00127CC5">
            <w:pPr>
              <w:jc w:val="center"/>
              <w:rPr>
                <w:rFonts w:asciiTheme="minorHAnsi" w:hAnsiTheme="minorHAnsi" w:cs="Arial"/>
                <w:sz w:val="22"/>
                <w:szCs w:val="22"/>
              </w:rPr>
            </w:pPr>
            <w:r w:rsidRPr="00EF1A7C">
              <w:rPr>
                <w:rFonts w:asciiTheme="minorHAnsi" w:hAnsiTheme="minorHAnsi" w:cs="Arial"/>
                <w:sz w:val="22"/>
                <w:szCs w:val="22"/>
              </w:rPr>
              <w:t>NOMBRE</w:t>
            </w:r>
          </w:p>
        </w:tc>
        <w:tc>
          <w:tcPr>
            <w:tcW w:w="539" w:type="pct"/>
          </w:tcPr>
          <w:p w:rsidR="00EF1A7C" w:rsidRPr="00EF1A7C" w:rsidRDefault="00EF1A7C" w:rsidP="00127CC5">
            <w:pPr>
              <w:jc w:val="center"/>
              <w:rPr>
                <w:rFonts w:asciiTheme="minorHAnsi" w:hAnsiTheme="minorHAnsi" w:cs="Arial"/>
                <w:sz w:val="22"/>
                <w:szCs w:val="22"/>
              </w:rPr>
            </w:pPr>
            <w:r w:rsidRPr="00EF1A7C">
              <w:rPr>
                <w:rFonts w:asciiTheme="minorHAnsi" w:hAnsiTheme="minorHAnsi" w:cs="Arial"/>
                <w:sz w:val="22"/>
                <w:szCs w:val="22"/>
              </w:rPr>
              <w:t>TERAPIA</w:t>
            </w:r>
          </w:p>
        </w:tc>
        <w:tc>
          <w:tcPr>
            <w:tcW w:w="3367" w:type="pct"/>
          </w:tcPr>
          <w:p w:rsidR="00EF1A7C" w:rsidRPr="00EF1A7C" w:rsidRDefault="00EF1A7C" w:rsidP="00127CC5">
            <w:pPr>
              <w:jc w:val="center"/>
              <w:rPr>
                <w:rFonts w:asciiTheme="minorHAnsi" w:hAnsiTheme="minorHAnsi" w:cs="Arial"/>
                <w:sz w:val="22"/>
                <w:szCs w:val="22"/>
              </w:rPr>
            </w:pPr>
            <w:r w:rsidRPr="00EF1A7C">
              <w:rPr>
                <w:rFonts w:asciiTheme="minorHAnsi" w:hAnsiTheme="minorHAnsi" w:cs="Arial"/>
                <w:sz w:val="22"/>
                <w:szCs w:val="22"/>
              </w:rPr>
              <w:t>DESCRIPCIÓN</w:t>
            </w:r>
          </w:p>
        </w:tc>
      </w:tr>
      <w:tr w:rsidR="00EF1A7C" w:rsidRPr="00EF1A7C" w:rsidTr="00EF1A7C">
        <w:tc>
          <w:tcPr>
            <w:tcW w:w="1094" w:type="pct"/>
            <w:vAlign w:val="center"/>
          </w:tcPr>
          <w:p w:rsidR="00EF1A7C" w:rsidRPr="00EF1A7C" w:rsidRDefault="00EF1A7C" w:rsidP="00127CC5">
            <w:pPr>
              <w:rPr>
                <w:rFonts w:asciiTheme="minorHAnsi" w:hAnsiTheme="minorHAnsi" w:cs="Arial"/>
                <w:sz w:val="22"/>
                <w:szCs w:val="22"/>
              </w:rPr>
            </w:pPr>
            <w:r w:rsidRPr="00EF1A7C">
              <w:rPr>
                <w:rFonts w:asciiTheme="minorHAnsi" w:hAnsiTheme="minorHAnsi" w:cs="Arial"/>
                <w:sz w:val="22"/>
                <w:szCs w:val="22"/>
              </w:rPr>
              <w:t>LÍNEA DE TRANSFERENCIA</w:t>
            </w:r>
          </w:p>
        </w:tc>
        <w:tc>
          <w:tcPr>
            <w:tcW w:w="539" w:type="pct"/>
            <w:vAlign w:val="center"/>
          </w:tcPr>
          <w:p w:rsidR="00EF1A7C" w:rsidRPr="00EF1A7C" w:rsidRDefault="00EF1A7C" w:rsidP="00127CC5">
            <w:pPr>
              <w:rPr>
                <w:rFonts w:asciiTheme="minorHAnsi" w:hAnsiTheme="minorHAnsi" w:cs="Arial"/>
                <w:color w:val="000000"/>
                <w:sz w:val="22"/>
                <w:szCs w:val="22"/>
                <w:lang w:eastAsia="es-MX"/>
              </w:rPr>
            </w:pPr>
            <w:r w:rsidRPr="00EF1A7C">
              <w:rPr>
                <w:rFonts w:asciiTheme="minorHAnsi" w:hAnsiTheme="minorHAnsi" w:cs="Arial"/>
                <w:color w:val="000000"/>
                <w:sz w:val="22"/>
                <w:szCs w:val="22"/>
                <w:lang w:eastAsia="es-MX"/>
              </w:rPr>
              <w:t>DPA Y DPCA</w:t>
            </w:r>
          </w:p>
        </w:tc>
        <w:tc>
          <w:tcPr>
            <w:tcW w:w="3367" w:type="pct"/>
            <w:vAlign w:val="center"/>
          </w:tcPr>
          <w:p w:rsidR="00EF1A7C" w:rsidRPr="00EF1A7C" w:rsidRDefault="00EF1A7C" w:rsidP="00EF1A7C">
            <w:pPr>
              <w:rPr>
                <w:rFonts w:asciiTheme="minorHAnsi" w:hAnsiTheme="minorHAnsi" w:cs="Arial"/>
                <w:sz w:val="22"/>
                <w:szCs w:val="22"/>
              </w:rPr>
            </w:pPr>
            <w:r w:rsidRPr="00EF1A7C">
              <w:rPr>
                <w:rFonts w:asciiTheme="minorHAnsi" w:hAnsiTheme="minorHAnsi" w:cs="Arial"/>
                <w:color w:val="000000"/>
                <w:sz w:val="22"/>
                <w:szCs w:val="22"/>
                <w:lang w:eastAsia="es-MX"/>
              </w:rPr>
              <w:t>Equipos de línea corta de transferencia de 6 meses de duración, para unirse al conector correspondiente al catéter del paciente, sistema automático. (Una línea de transferencia por paciente nuevo a la terapia de diálisis y una línea por el cambio de la línea cada seis meses al paciente que permanezca en la terapia).</w:t>
            </w:r>
            <w:bookmarkStart w:id="0" w:name="_GoBack"/>
            <w:bookmarkEnd w:id="0"/>
          </w:p>
        </w:tc>
      </w:tr>
      <w:tr w:rsidR="00EF1A7C" w:rsidRPr="00EF1A7C" w:rsidTr="00EF1A7C">
        <w:tc>
          <w:tcPr>
            <w:tcW w:w="1094" w:type="pct"/>
            <w:vAlign w:val="center"/>
          </w:tcPr>
          <w:p w:rsidR="00EF1A7C" w:rsidRPr="00EF1A7C" w:rsidRDefault="00EF1A7C" w:rsidP="00127CC5">
            <w:pPr>
              <w:rPr>
                <w:rFonts w:asciiTheme="minorHAnsi" w:hAnsiTheme="minorHAnsi" w:cs="Arial"/>
                <w:sz w:val="22"/>
                <w:szCs w:val="22"/>
              </w:rPr>
            </w:pPr>
            <w:r w:rsidRPr="00EF1A7C">
              <w:rPr>
                <w:rFonts w:asciiTheme="minorHAnsi" w:hAnsiTheme="minorHAnsi" w:cs="Arial"/>
                <w:sz w:val="22"/>
                <w:szCs w:val="22"/>
              </w:rPr>
              <w:t>KIT DE DIÁLISIS</w:t>
            </w:r>
          </w:p>
          <w:p w:rsidR="00EF1A7C" w:rsidRPr="00EF1A7C" w:rsidRDefault="00EF1A7C" w:rsidP="00127CC5">
            <w:pPr>
              <w:rPr>
                <w:rFonts w:asciiTheme="minorHAnsi" w:hAnsiTheme="minorHAnsi" w:cs="Arial"/>
                <w:sz w:val="22"/>
                <w:szCs w:val="22"/>
              </w:rPr>
            </w:pPr>
            <w:r w:rsidRPr="00EF1A7C">
              <w:rPr>
                <w:rFonts w:asciiTheme="minorHAnsi" w:hAnsiTheme="minorHAnsi" w:cs="Arial"/>
                <w:sz w:val="22"/>
                <w:szCs w:val="22"/>
              </w:rPr>
              <w:t>(1 KIT DIARIO)</w:t>
            </w:r>
          </w:p>
        </w:tc>
        <w:tc>
          <w:tcPr>
            <w:tcW w:w="539" w:type="pct"/>
            <w:vAlign w:val="center"/>
          </w:tcPr>
          <w:p w:rsidR="00EF1A7C" w:rsidRPr="00EF1A7C" w:rsidRDefault="00EF1A7C" w:rsidP="00127CC5">
            <w:pPr>
              <w:rPr>
                <w:rFonts w:asciiTheme="minorHAnsi" w:hAnsiTheme="minorHAnsi" w:cs="Arial"/>
                <w:color w:val="000000"/>
                <w:sz w:val="22"/>
                <w:szCs w:val="22"/>
                <w:lang w:eastAsia="es-MX"/>
              </w:rPr>
            </w:pPr>
            <w:r w:rsidRPr="00EF1A7C">
              <w:rPr>
                <w:rFonts w:asciiTheme="minorHAnsi" w:hAnsiTheme="minorHAnsi" w:cs="Arial"/>
                <w:color w:val="000000"/>
                <w:sz w:val="22"/>
                <w:szCs w:val="22"/>
                <w:lang w:eastAsia="es-MX"/>
              </w:rPr>
              <w:t>DPA Y DPCA</w:t>
            </w:r>
          </w:p>
        </w:tc>
        <w:tc>
          <w:tcPr>
            <w:tcW w:w="3367" w:type="pct"/>
            <w:vAlign w:val="center"/>
          </w:tcPr>
          <w:p w:rsidR="00EF1A7C" w:rsidRPr="00EF1A7C" w:rsidRDefault="00EF1A7C" w:rsidP="00127CC5">
            <w:pPr>
              <w:rPr>
                <w:rFonts w:asciiTheme="minorHAnsi" w:hAnsiTheme="minorHAnsi" w:cs="Arial"/>
                <w:sz w:val="22"/>
                <w:szCs w:val="22"/>
              </w:rPr>
            </w:pPr>
            <w:r w:rsidRPr="00EF1A7C">
              <w:rPr>
                <w:rFonts w:asciiTheme="minorHAnsi" w:hAnsiTheme="minorHAnsi" w:cs="Arial"/>
                <w:color w:val="000000"/>
                <w:sz w:val="22"/>
                <w:szCs w:val="22"/>
                <w:lang w:eastAsia="es-MX"/>
              </w:rPr>
              <w:t>- Pinzas de sujeción desechable para el manejo de equipo para la diálisis peritoneal.</w:t>
            </w:r>
          </w:p>
          <w:p w:rsidR="00EF1A7C" w:rsidRPr="00EF1A7C" w:rsidRDefault="00EF1A7C" w:rsidP="00127CC5">
            <w:pPr>
              <w:rPr>
                <w:rFonts w:asciiTheme="minorHAnsi" w:hAnsiTheme="minorHAnsi" w:cs="Arial"/>
                <w:color w:val="000000"/>
                <w:sz w:val="22"/>
                <w:szCs w:val="22"/>
                <w:lang w:eastAsia="es-MX"/>
              </w:rPr>
            </w:pPr>
            <w:r w:rsidRPr="00EF1A7C">
              <w:rPr>
                <w:rFonts w:asciiTheme="minorHAnsi" w:hAnsiTheme="minorHAnsi" w:cs="Arial"/>
                <w:color w:val="000000"/>
                <w:sz w:val="22"/>
                <w:szCs w:val="22"/>
                <w:lang w:eastAsia="es-MX"/>
              </w:rPr>
              <w:t>- Tapones luer-lock protector con solución antiséptica de yodopodividona para protección del equipo de transferencia, sistema automático. (un tapón por bolsa en la terapia de DPCA y un tapón por sesión en la terapia de DPA)</w:t>
            </w:r>
          </w:p>
          <w:p w:rsidR="00EF1A7C" w:rsidRPr="00EF1A7C" w:rsidRDefault="00EF1A7C" w:rsidP="00127CC5">
            <w:pPr>
              <w:rPr>
                <w:rFonts w:asciiTheme="minorHAnsi" w:hAnsiTheme="minorHAnsi" w:cs="Arial"/>
                <w:color w:val="000000"/>
                <w:sz w:val="22"/>
                <w:szCs w:val="22"/>
                <w:lang w:eastAsia="es-MX"/>
              </w:rPr>
            </w:pPr>
            <w:r w:rsidRPr="00EF1A7C">
              <w:rPr>
                <w:rFonts w:asciiTheme="minorHAnsi" w:hAnsiTheme="minorHAnsi" w:cs="Arial"/>
                <w:color w:val="000000"/>
                <w:sz w:val="22"/>
                <w:szCs w:val="22"/>
                <w:lang w:eastAsia="es-MX"/>
              </w:rPr>
              <w:t xml:space="preserve">- Cubre bocas </w:t>
            </w:r>
          </w:p>
        </w:tc>
      </w:tr>
      <w:tr w:rsidR="00EF1A7C" w:rsidRPr="00EF1A7C" w:rsidTr="00EF1A7C">
        <w:tc>
          <w:tcPr>
            <w:tcW w:w="1094" w:type="pct"/>
            <w:vAlign w:val="center"/>
          </w:tcPr>
          <w:p w:rsidR="00EF1A7C" w:rsidRPr="00EF1A7C" w:rsidRDefault="00EF1A7C" w:rsidP="00127CC5">
            <w:pPr>
              <w:rPr>
                <w:rFonts w:asciiTheme="minorHAnsi" w:hAnsiTheme="minorHAnsi" w:cs="Arial"/>
                <w:sz w:val="22"/>
                <w:szCs w:val="22"/>
              </w:rPr>
            </w:pPr>
            <w:r w:rsidRPr="00EF1A7C">
              <w:rPr>
                <w:rFonts w:asciiTheme="minorHAnsi" w:hAnsiTheme="minorHAnsi" w:cs="Arial"/>
                <w:sz w:val="22"/>
                <w:szCs w:val="22"/>
              </w:rPr>
              <w:t>EQUIPO DE AUTOMATIZACIÓN</w:t>
            </w:r>
          </w:p>
        </w:tc>
        <w:tc>
          <w:tcPr>
            <w:tcW w:w="539" w:type="pct"/>
            <w:vAlign w:val="center"/>
          </w:tcPr>
          <w:p w:rsidR="00EF1A7C" w:rsidRPr="00EF1A7C" w:rsidRDefault="00EF1A7C" w:rsidP="00127CC5">
            <w:pPr>
              <w:rPr>
                <w:rFonts w:asciiTheme="minorHAnsi" w:hAnsiTheme="minorHAnsi" w:cs="Arial"/>
                <w:sz w:val="22"/>
                <w:szCs w:val="22"/>
              </w:rPr>
            </w:pPr>
            <w:r w:rsidRPr="00EF1A7C">
              <w:rPr>
                <w:rFonts w:asciiTheme="minorHAnsi" w:hAnsiTheme="minorHAnsi" w:cs="Arial"/>
                <w:sz w:val="22"/>
                <w:szCs w:val="22"/>
              </w:rPr>
              <w:t>DPA</w:t>
            </w:r>
          </w:p>
        </w:tc>
        <w:tc>
          <w:tcPr>
            <w:tcW w:w="3367" w:type="pct"/>
            <w:vAlign w:val="center"/>
          </w:tcPr>
          <w:p w:rsidR="00EF1A7C" w:rsidRPr="00EF1A7C" w:rsidRDefault="00EF1A7C" w:rsidP="00127CC5">
            <w:pPr>
              <w:rPr>
                <w:rFonts w:asciiTheme="minorHAnsi" w:hAnsiTheme="minorHAnsi" w:cs="Arial"/>
                <w:sz w:val="22"/>
                <w:szCs w:val="22"/>
              </w:rPr>
            </w:pPr>
            <w:r w:rsidRPr="00EF1A7C">
              <w:rPr>
                <w:rFonts w:asciiTheme="minorHAnsi" w:hAnsiTheme="minorHAnsi" w:cs="Arial"/>
                <w:sz w:val="22"/>
                <w:szCs w:val="22"/>
              </w:rPr>
              <w:t>Máquina cicladora para diálisis peritoneal</w:t>
            </w:r>
          </w:p>
        </w:tc>
      </w:tr>
      <w:tr w:rsidR="00EF1A7C" w:rsidRPr="00EF1A7C" w:rsidTr="00EF1A7C">
        <w:tc>
          <w:tcPr>
            <w:tcW w:w="1094" w:type="pct"/>
            <w:vAlign w:val="center"/>
          </w:tcPr>
          <w:p w:rsidR="00EF1A7C" w:rsidRPr="00EF1A7C" w:rsidRDefault="00EF1A7C" w:rsidP="00127CC5">
            <w:pPr>
              <w:rPr>
                <w:rFonts w:asciiTheme="minorHAnsi" w:hAnsiTheme="minorHAnsi" w:cs="Arial"/>
                <w:sz w:val="22"/>
                <w:szCs w:val="22"/>
              </w:rPr>
            </w:pPr>
            <w:r w:rsidRPr="00EF1A7C">
              <w:rPr>
                <w:rFonts w:asciiTheme="minorHAnsi" w:hAnsiTheme="minorHAnsi" w:cs="Arial"/>
                <w:sz w:val="22"/>
                <w:szCs w:val="22"/>
              </w:rPr>
              <w:t>KIT DE MÁQUINA DIÁLISIS</w:t>
            </w:r>
          </w:p>
          <w:p w:rsidR="00EF1A7C" w:rsidRPr="00EF1A7C" w:rsidRDefault="00EF1A7C" w:rsidP="00127CC5">
            <w:pPr>
              <w:rPr>
                <w:rFonts w:asciiTheme="minorHAnsi" w:hAnsiTheme="minorHAnsi" w:cs="Arial"/>
                <w:sz w:val="22"/>
                <w:szCs w:val="22"/>
              </w:rPr>
            </w:pPr>
            <w:r w:rsidRPr="00EF1A7C">
              <w:rPr>
                <w:rFonts w:asciiTheme="minorHAnsi" w:hAnsiTheme="minorHAnsi" w:cs="Arial"/>
                <w:sz w:val="22"/>
                <w:szCs w:val="22"/>
              </w:rPr>
              <w:t>(1 KIT DIARIO)</w:t>
            </w:r>
          </w:p>
        </w:tc>
        <w:tc>
          <w:tcPr>
            <w:tcW w:w="539" w:type="pct"/>
            <w:vAlign w:val="center"/>
          </w:tcPr>
          <w:p w:rsidR="00EF1A7C" w:rsidRPr="00EF1A7C" w:rsidRDefault="00EF1A7C" w:rsidP="00127CC5">
            <w:pPr>
              <w:rPr>
                <w:rFonts w:asciiTheme="minorHAnsi" w:hAnsiTheme="minorHAnsi" w:cs="Arial"/>
                <w:color w:val="000000"/>
                <w:sz w:val="22"/>
                <w:szCs w:val="22"/>
                <w:lang w:eastAsia="es-MX"/>
              </w:rPr>
            </w:pPr>
            <w:r w:rsidRPr="00EF1A7C">
              <w:rPr>
                <w:rFonts w:asciiTheme="minorHAnsi" w:hAnsiTheme="minorHAnsi" w:cs="Arial"/>
                <w:color w:val="000000"/>
                <w:sz w:val="22"/>
                <w:szCs w:val="22"/>
                <w:lang w:eastAsia="es-MX"/>
              </w:rPr>
              <w:t>DPA</w:t>
            </w:r>
          </w:p>
        </w:tc>
        <w:tc>
          <w:tcPr>
            <w:tcW w:w="3367" w:type="pct"/>
            <w:vAlign w:val="center"/>
          </w:tcPr>
          <w:p w:rsidR="00EF1A7C" w:rsidRPr="00EF1A7C" w:rsidRDefault="00EF1A7C" w:rsidP="00127CC5">
            <w:pPr>
              <w:rPr>
                <w:rFonts w:asciiTheme="minorHAnsi" w:hAnsiTheme="minorHAnsi" w:cs="Arial"/>
                <w:sz w:val="22"/>
                <w:szCs w:val="22"/>
              </w:rPr>
            </w:pPr>
            <w:r w:rsidRPr="00EF1A7C">
              <w:rPr>
                <w:rFonts w:asciiTheme="minorHAnsi" w:hAnsiTheme="minorHAnsi" w:cs="Arial"/>
                <w:color w:val="000000"/>
                <w:sz w:val="22"/>
                <w:szCs w:val="22"/>
                <w:lang w:eastAsia="es-MX"/>
              </w:rPr>
              <w:t xml:space="preserve">Casete desechable para el manejo de maquina cicladora (una pieza por sesión del paciente), una diaria </w:t>
            </w:r>
          </w:p>
        </w:tc>
      </w:tr>
    </w:tbl>
    <w:p w:rsidR="00E25129" w:rsidRPr="00EF1A7C" w:rsidRDefault="00E25129" w:rsidP="00EF1A7C"/>
    <w:sectPr w:rsidR="00E25129" w:rsidRPr="00EF1A7C"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3B7" w:rsidRDefault="00AC63B7">
      <w:r>
        <w:separator/>
      </w:r>
    </w:p>
  </w:endnote>
  <w:endnote w:type="continuationSeparator" w:id="0">
    <w:p w:rsidR="00AC63B7" w:rsidRDefault="00AC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1D677E"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Pr="00A70FBC" w:rsidRDefault="001D677E"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0E4032"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EF1A7C">
      <w:rPr>
        <w:rStyle w:val="Nmerodepgina"/>
        <w:rFonts w:ascii="Arial" w:hAnsi="Arial" w:cs="Arial"/>
        <w:noProof/>
      </w:rPr>
      <w:t>1</w:t>
    </w:r>
    <w:r w:rsidRPr="00A70FBC">
      <w:rPr>
        <w:rStyle w:val="Nmerodepgina"/>
        <w:rFonts w:ascii="Arial" w:hAnsi="Arial" w:cs="Arial"/>
      </w:rPr>
      <w:fldChar w:fldCharType="end"/>
    </w:r>
  </w:p>
  <w:p w:rsidR="006A5C00" w:rsidRDefault="00C01500" w:rsidP="00C01500">
    <w:pPr>
      <w:pStyle w:val="Piedepgina"/>
      <w:ind w:right="360"/>
      <w:jc w:val="center"/>
      <w:rPr>
        <w:rFonts w:ascii="Arial" w:hAnsi="Arial" w:cs="Arial"/>
        <w:sz w:val="16"/>
        <w:szCs w:val="16"/>
      </w:rPr>
    </w:pPr>
    <w:r w:rsidRPr="00C01500">
      <w:rPr>
        <w:rFonts w:ascii="Arial" w:hAnsi="Arial" w:cs="Arial"/>
        <w:sz w:val="16"/>
        <w:szCs w:val="16"/>
      </w:rPr>
      <w:t>“201</w:t>
    </w:r>
    <w:r w:rsidR="006A5C00">
      <w:rPr>
        <w:rFonts w:ascii="Arial" w:hAnsi="Arial" w:cs="Arial"/>
        <w:sz w:val="16"/>
        <w:szCs w:val="16"/>
      </w:rPr>
      <w:t>8</w:t>
    </w:r>
    <w:r w:rsidRPr="00C01500">
      <w:rPr>
        <w:rFonts w:ascii="Arial" w:hAnsi="Arial" w:cs="Arial"/>
        <w:sz w:val="16"/>
        <w:szCs w:val="16"/>
      </w:rPr>
      <w:t>, Año del Centenario de</w:t>
    </w:r>
    <w:r w:rsidR="006A5C00">
      <w:rPr>
        <w:rFonts w:ascii="Arial" w:hAnsi="Arial" w:cs="Arial"/>
        <w:sz w:val="16"/>
        <w:szCs w:val="16"/>
      </w:rPr>
      <w:t>l Natalicio de José Fuentes Mares”</w:t>
    </w:r>
  </w:p>
  <w:p w:rsidR="000E4032" w:rsidRPr="00C01500" w:rsidRDefault="006A5C00" w:rsidP="00C01500">
    <w:pPr>
      <w:pStyle w:val="Piedepgina"/>
      <w:ind w:right="360"/>
      <w:jc w:val="center"/>
      <w:rPr>
        <w:rFonts w:ascii="Arial" w:hAnsi="Arial" w:cs="Arial"/>
        <w:sz w:val="16"/>
        <w:szCs w:val="16"/>
      </w:rPr>
    </w:pPr>
    <w:r>
      <w:rPr>
        <w:rFonts w:ascii="Arial" w:hAnsi="Arial" w:cs="Arial"/>
        <w:sz w:val="16"/>
        <w:szCs w:val="16"/>
      </w:rPr>
      <w:t>“2018, Año de la Familia y los Valores</w:t>
    </w:r>
    <w:r w:rsidR="00C01500" w:rsidRPr="00C01500">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3B7" w:rsidRDefault="00AC63B7">
      <w:r>
        <w:separator/>
      </w:r>
    </w:p>
  </w:footnote>
  <w:footnote w:type="continuationSeparator" w:id="0">
    <w:p w:rsidR="00AC63B7" w:rsidRDefault="00AC6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1321E1">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r w:rsidR="00EF1A7C">
      <w:rPr>
        <w:noProof/>
        <w:lang w:val="es-MX" w:eastAsia="es-MX"/>
      </w:rPr>
      <w:pict>
        <v:rect id="Rectángulo 57" o:spid="_x0000_s2049" style="position:absolute;margin-left:104.45pt;margin-top:-8.25pt;width:265.6pt;height:100.55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0105E3">
                  <w:rPr>
                    <w:rFonts w:ascii="Arial" w:hAnsi="Arial"/>
                    <w:b/>
                    <w:color w:val="000000" w:themeColor="text1"/>
                    <w:lang w:val="es-MX"/>
                  </w:rPr>
                  <w:t>00</w:t>
                </w:r>
                <w:r w:rsidR="001A5A73">
                  <w:rPr>
                    <w:rFonts w:ascii="Arial" w:hAnsi="Arial"/>
                    <w:b/>
                    <w:color w:val="000000" w:themeColor="text1"/>
                    <w:lang w:val="es-MX"/>
                  </w:rPr>
                  <w:t>8</w:t>
                </w:r>
                <w:r w:rsidR="000105E3">
                  <w:rPr>
                    <w:rFonts w:ascii="Arial" w:hAnsi="Arial"/>
                    <w:b/>
                    <w:color w:val="000000" w:themeColor="text1"/>
                    <w:lang w:val="es-MX"/>
                  </w:rPr>
                  <w:t>-201</w:t>
                </w:r>
                <w:r w:rsidR="0047746B">
                  <w:rPr>
                    <w:rFonts w:ascii="Arial" w:hAnsi="Arial"/>
                    <w:b/>
                    <w:color w:val="000000" w:themeColor="text1"/>
                    <w:lang w:val="es-MX"/>
                  </w:rPr>
                  <w:t>9</w:t>
                </w:r>
              </w:p>
              <w:p w:rsidR="001321E1" w:rsidRPr="001321E1" w:rsidRDefault="001321E1" w:rsidP="00114938">
                <w:pPr>
                  <w:pStyle w:val="Encabezado"/>
                  <w:jc w:val="center"/>
                  <w:rPr>
                    <w:rFonts w:ascii="Arial" w:hAnsi="Arial"/>
                    <w:b/>
                    <w:color w:val="000000" w:themeColor="text1"/>
                    <w:lang w:val="es-MX"/>
                  </w:rPr>
                </w:pPr>
                <w:r w:rsidRPr="001321E1">
                  <w:rPr>
                    <w:rFonts w:ascii="Arial" w:hAnsi="Arial"/>
                    <w:b/>
                    <w:color w:val="000000" w:themeColor="text1"/>
                    <w:lang w:val="es-MX"/>
                  </w:rPr>
                  <w:t>“</w:t>
                </w:r>
                <w:r w:rsidRPr="00114938">
                  <w:rPr>
                    <w:rFonts w:ascii="Arial" w:hAnsi="Arial" w:cs="Arial"/>
                    <w:b/>
                    <w:color w:val="000000" w:themeColor="text1"/>
                    <w:lang w:val="es-MX"/>
                  </w:rPr>
                  <w:t xml:space="preserve">ADQUISICIÓN DE </w:t>
                </w:r>
                <w:r w:rsidR="00114938" w:rsidRPr="00114938">
                  <w:rPr>
                    <w:rFonts w:ascii="Arial" w:hAnsi="Arial" w:cs="Arial"/>
                    <w:b/>
                  </w:rPr>
                  <w:t>SOLUCIONES PARA DIÁLISIS PERITONEAL</w:t>
                </w:r>
                <w:r w:rsidRPr="00114938">
                  <w:rPr>
                    <w:rFonts w:ascii="Arial" w:hAnsi="Arial" w:cs="Arial"/>
                    <w:b/>
                    <w:color w:val="000000" w:themeColor="text1"/>
                    <w:lang w:val="es-MX"/>
                  </w:rPr>
                  <w:t>”</w:t>
                </w:r>
              </w:p>
              <w:p w:rsidR="001321E1" w:rsidRPr="001321E1" w:rsidRDefault="001321E1" w:rsidP="001321E1">
                <w:pPr>
                  <w:jc w:val="center"/>
                  <w:rPr>
                    <w:color w:val="000000" w:themeColor="text1"/>
                    <w:lang w:val="es-MX"/>
                  </w:rPr>
                </w:pPr>
              </w:p>
            </w:txbxContent>
          </v:textbox>
        </v:rect>
      </w:pic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24CB"/>
    <w:multiLevelType w:val="hybridMultilevel"/>
    <w:tmpl w:val="89D2BA5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F545036">
      <w:start w:val="1"/>
      <w:numFmt w:val="decimal"/>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nsid w:val="096F193E"/>
    <w:multiLevelType w:val="hybridMultilevel"/>
    <w:tmpl w:val="0D109F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C653437"/>
    <w:multiLevelType w:val="multilevel"/>
    <w:tmpl w:val="EC3446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8">
    <w:nsid w:val="0F345F14"/>
    <w:multiLevelType w:val="hybridMultilevel"/>
    <w:tmpl w:val="9B28D2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DE8767E"/>
    <w:multiLevelType w:val="hybridMultilevel"/>
    <w:tmpl w:val="2BCCA830"/>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3">
    <w:nsid w:val="236C297D"/>
    <w:multiLevelType w:val="hybridMultilevel"/>
    <w:tmpl w:val="AC0E14B2"/>
    <w:lvl w:ilvl="0" w:tplc="159415E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E77B08"/>
    <w:multiLevelType w:val="hybridMultilevel"/>
    <w:tmpl w:val="89C60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AEF4063"/>
    <w:multiLevelType w:val="hybridMultilevel"/>
    <w:tmpl w:val="B3B6E5AE"/>
    <w:lvl w:ilvl="0" w:tplc="080A0003">
      <w:start w:val="1"/>
      <w:numFmt w:val="bullet"/>
      <w:lvlText w:val="o"/>
      <w:lvlJc w:val="left"/>
      <w:pPr>
        <w:tabs>
          <w:tab w:val="num" w:pos="1428"/>
        </w:tabs>
        <w:ind w:left="1428" w:hanging="360"/>
      </w:pPr>
      <w:rPr>
        <w:rFonts w:ascii="Courier New" w:hAnsi="Courier New" w:cs="Courier New"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4D50ACE"/>
    <w:multiLevelType w:val="hybridMultilevel"/>
    <w:tmpl w:val="6B647D04"/>
    <w:lvl w:ilvl="0" w:tplc="080A0003">
      <w:start w:val="1"/>
      <w:numFmt w:val="bullet"/>
      <w:lvlText w:val="o"/>
      <w:lvlJc w:val="left"/>
      <w:pPr>
        <w:tabs>
          <w:tab w:val="num" w:pos="1068"/>
        </w:tabs>
        <w:ind w:left="1068" w:hanging="360"/>
      </w:pPr>
      <w:rPr>
        <w:rFonts w:ascii="Courier New" w:hAnsi="Courier New" w:cs="Courier New"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2">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5">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14772BD"/>
    <w:multiLevelType w:val="hybridMultilevel"/>
    <w:tmpl w:val="FDBEFB44"/>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46335E0B"/>
    <w:multiLevelType w:val="hybridMultilevel"/>
    <w:tmpl w:val="E4841B3C"/>
    <w:lvl w:ilvl="0" w:tplc="154C6458">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7862E1B"/>
    <w:multiLevelType w:val="hybridMultilevel"/>
    <w:tmpl w:val="BA48F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3">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40E4521"/>
    <w:multiLevelType w:val="hybridMultilevel"/>
    <w:tmpl w:val="7732430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45552AE"/>
    <w:multiLevelType w:val="hybridMultilevel"/>
    <w:tmpl w:val="5B6EDFC2"/>
    <w:lvl w:ilvl="0" w:tplc="9F38B74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8E5548D"/>
    <w:multiLevelType w:val="hybridMultilevel"/>
    <w:tmpl w:val="F7006378"/>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7">
      <w:start w:val="1"/>
      <w:numFmt w:val="lowerLetter"/>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BAB60CD"/>
    <w:multiLevelType w:val="hybridMultilevel"/>
    <w:tmpl w:val="052CA6F4"/>
    <w:lvl w:ilvl="0" w:tplc="C5563026">
      <w:start w:val="1"/>
      <w:numFmt w:val="decimal"/>
      <w:lvlText w:val="%1."/>
      <w:lvlJc w:val="left"/>
      <w:pPr>
        <w:ind w:left="720" w:hanging="360"/>
      </w:pPr>
      <w:rPr>
        <w:rFonts w:ascii="Arial" w:eastAsia="Times New Roman" w:hAnsi="Arial" w:cs="Arial"/>
        <w:b/>
      </w:rPr>
    </w:lvl>
    <w:lvl w:ilvl="1" w:tplc="4B6CD888">
      <w:start w:val="1"/>
      <w:numFmt w:val="upperLetter"/>
      <w:lvlText w:val="%2)"/>
      <w:lvlJc w:val="left"/>
      <w:pPr>
        <w:ind w:left="1440" w:hanging="360"/>
      </w:pPr>
      <w:rPr>
        <w:b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40">
    <w:nsid w:val="6FA721EC"/>
    <w:multiLevelType w:val="hybridMultilevel"/>
    <w:tmpl w:val="D06A2A30"/>
    <w:lvl w:ilvl="0" w:tplc="07B62BA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5"/>
  </w:num>
  <w:num w:numId="2">
    <w:abstractNumId w:val="18"/>
  </w:num>
  <w:num w:numId="3">
    <w:abstractNumId w:val="31"/>
  </w:num>
  <w:num w:numId="4">
    <w:abstractNumId w:val="17"/>
  </w:num>
  <w:num w:numId="5">
    <w:abstractNumId w:val="41"/>
  </w:num>
  <w:num w:numId="6">
    <w:abstractNumId w:val="2"/>
  </w:num>
  <w:num w:numId="7">
    <w:abstractNumId w:val="6"/>
  </w:num>
  <w:num w:numId="8">
    <w:abstractNumId w:val="19"/>
  </w:num>
  <w:num w:numId="9">
    <w:abstractNumId w:val="20"/>
  </w:num>
  <w:num w:numId="10">
    <w:abstractNumId w:val="12"/>
  </w:num>
  <w:num w:numId="11">
    <w:abstractNumId w:val="32"/>
  </w:num>
  <w:num w:numId="12">
    <w:abstractNumId w:val="24"/>
  </w:num>
  <w:num w:numId="13">
    <w:abstractNumId w:val="43"/>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
  </w:num>
  <w:num w:numId="17">
    <w:abstractNumId w:val="28"/>
  </w:num>
  <w:num w:numId="18">
    <w:abstractNumId w:val="15"/>
  </w:num>
  <w:num w:numId="19">
    <w:abstractNumId w:val="26"/>
  </w:num>
  <w:num w:numId="20">
    <w:abstractNumId w:val="10"/>
  </w:num>
  <w:num w:numId="21">
    <w:abstractNumId w:val="1"/>
  </w:num>
  <w:num w:numId="22">
    <w:abstractNumId w:val="9"/>
  </w:num>
  <w:num w:numId="23">
    <w:abstractNumId w:val="33"/>
  </w:num>
  <w:num w:numId="24">
    <w:abstractNumId w:val="3"/>
  </w:num>
  <w:num w:numId="25">
    <w:abstractNumId w:val="22"/>
  </w:num>
  <w:num w:numId="26">
    <w:abstractNumId w:val="39"/>
  </w:num>
  <w:num w:numId="27">
    <w:abstractNumId w:val="44"/>
  </w:num>
  <w:num w:numId="28">
    <w:abstractNumId w:val="38"/>
  </w:num>
  <w:num w:numId="29">
    <w:abstractNumId w:val="23"/>
  </w:num>
  <w:num w:numId="30">
    <w:abstractNumId w:val="40"/>
  </w:num>
  <w:num w:numId="31">
    <w:abstractNumId w:val="34"/>
  </w:num>
  <w:num w:numId="32">
    <w:abstractNumId w:val="8"/>
  </w:num>
  <w:num w:numId="33">
    <w:abstractNumId w:val="30"/>
  </w:num>
  <w:num w:numId="34">
    <w:abstractNumId w:val="35"/>
  </w:num>
  <w:num w:numId="35">
    <w:abstractNumId w:val="5"/>
  </w:num>
  <w:num w:numId="36">
    <w:abstractNumId w:val="16"/>
  </w:num>
  <w:num w:numId="37">
    <w:abstractNumId w:val="27"/>
  </w:num>
  <w:num w:numId="38">
    <w:abstractNumId w:val="21"/>
  </w:num>
  <w:num w:numId="39">
    <w:abstractNumId w:val="1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0"/>
  </w:num>
  <w:num w:numId="43">
    <w:abstractNumId w:val="7"/>
  </w:num>
  <w:num w:numId="44">
    <w:abstractNumId w:val="29"/>
  </w:num>
  <w:num w:numId="45">
    <w:abstractNumId w:val="3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32DF"/>
    <w:rsid w:val="00000146"/>
    <w:rsid w:val="00000685"/>
    <w:rsid w:val="00000E38"/>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27A"/>
    <w:rsid w:val="000545C4"/>
    <w:rsid w:val="000555AB"/>
    <w:rsid w:val="00055DE4"/>
    <w:rsid w:val="00060D03"/>
    <w:rsid w:val="00062E5F"/>
    <w:rsid w:val="000630EE"/>
    <w:rsid w:val="00065764"/>
    <w:rsid w:val="00065A7E"/>
    <w:rsid w:val="000704F6"/>
    <w:rsid w:val="00070D71"/>
    <w:rsid w:val="00072BCE"/>
    <w:rsid w:val="0007608B"/>
    <w:rsid w:val="000760BB"/>
    <w:rsid w:val="00077E33"/>
    <w:rsid w:val="00080680"/>
    <w:rsid w:val="00080953"/>
    <w:rsid w:val="0008411F"/>
    <w:rsid w:val="00084DFA"/>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4755"/>
    <w:rsid w:val="000B51EB"/>
    <w:rsid w:val="000B63CA"/>
    <w:rsid w:val="000C06F2"/>
    <w:rsid w:val="000C26CA"/>
    <w:rsid w:val="000C3155"/>
    <w:rsid w:val="000C327D"/>
    <w:rsid w:val="000C4BF9"/>
    <w:rsid w:val="000C5E1D"/>
    <w:rsid w:val="000D1756"/>
    <w:rsid w:val="000D29A3"/>
    <w:rsid w:val="000D2F7C"/>
    <w:rsid w:val="000D402B"/>
    <w:rsid w:val="000D5627"/>
    <w:rsid w:val="000D62FB"/>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2682"/>
    <w:rsid w:val="001147FD"/>
    <w:rsid w:val="00114938"/>
    <w:rsid w:val="00115BF1"/>
    <w:rsid w:val="00115FFD"/>
    <w:rsid w:val="00116B38"/>
    <w:rsid w:val="00117259"/>
    <w:rsid w:val="00120B0C"/>
    <w:rsid w:val="00122A94"/>
    <w:rsid w:val="00122C08"/>
    <w:rsid w:val="00123403"/>
    <w:rsid w:val="00124985"/>
    <w:rsid w:val="00125456"/>
    <w:rsid w:val="001267DD"/>
    <w:rsid w:val="0012680F"/>
    <w:rsid w:val="001321E1"/>
    <w:rsid w:val="00133909"/>
    <w:rsid w:val="00134C4A"/>
    <w:rsid w:val="00134CC1"/>
    <w:rsid w:val="001350B7"/>
    <w:rsid w:val="00135FC0"/>
    <w:rsid w:val="00140BF9"/>
    <w:rsid w:val="001420F5"/>
    <w:rsid w:val="0014288E"/>
    <w:rsid w:val="001438D9"/>
    <w:rsid w:val="00144B85"/>
    <w:rsid w:val="00144C7D"/>
    <w:rsid w:val="00145F13"/>
    <w:rsid w:val="00146515"/>
    <w:rsid w:val="001535CB"/>
    <w:rsid w:val="00153715"/>
    <w:rsid w:val="001556DC"/>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2439"/>
    <w:rsid w:val="001A19D1"/>
    <w:rsid w:val="001A2C95"/>
    <w:rsid w:val="001A3B29"/>
    <w:rsid w:val="001A3FFC"/>
    <w:rsid w:val="001A5A73"/>
    <w:rsid w:val="001A5FA5"/>
    <w:rsid w:val="001A7973"/>
    <w:rsid w:val="001A7CF2"/>
    <w:rsid w:val="001A7EC9"/>
    <w:rsid w:val="001B1D4F"/>
    <w:rsid w:val="001B2A29"/>
    <w:rsid w:val="001B2E49"/>
    <w:rsid w:val="001B6FF8"/>
    <w:rsid w:val="001C4446"/>
    <w:rsid w:val="001C7401"/>
    <w:rsid w:val="001D1462"/>
    <w:rsid w:val="001D2C2A"/>
    <w:rsid w:val="001D4858"/>
    <w:rsid w:val="001D5FAA"/>
    <w:rsid w:val="001D677E"/>
    <w:rsid w:val="001D6E7C"/>
    <w:rsid w:val="001E0B88"/>
    <w:rsid w:val="001E29D2"/>
    <w:rsid w:val="001E65C3"/>
    <w:rsid w:val="001E674E"/>
    <w:rsid w:val="001E70AC"/>
    <w:rsid w:val="001F08F9"/>
    <w:rsid w:val="001F10AE"/>
    <w:rsid w:val="001F3BA5"/>
    <w:rsid w:val="001F40BF"/>
    <w:rsid w:val="001F55EA"/>
    <w:rsid w:val="001F7215"/>
    <w:rsid w:val="001F7C35"/>
    <w:rsid w:val="00201BFF"/>
    <w:rsid w:val="002026F0"/>
    <w:rsid w:val="00203683"/>
    <w:rsid w:val="002058B0"/>
    <w:rsid w:val="00205A2D"/>
    <w:rsid w:val="002074E7"/>
    <w:rsid w:val="002125F6"/>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7C45"/>
    <w:rsid w:val="002601BB"/>
    <w:rsid w:val="00263053"/>
    <w:rsid w:val="00264D94"/>
    <w:rsid w:val="002717A8"/>
    <w:rsid w:val="00272CC0"/>
    <w:rsid w:val="00273F84"/>
    <w:rsid w:val="0028259D"/>
    <w:rsid w:val="0028558B"/>
    <w:rsid w:val="00287D57"/>
    <w:rsid w:val="00290900"/>
    <w:rsid w:val="00290CD4"/>
    <w:rsid w:val="002917C9"/>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C0999"/>
    <w:rsid w:val="002C2324"/>
    <w:rsid w:val="002C2CF2"/>
    <w:rsid w:val="002C333B"/>
    <w:rsid w:val="002C3816"/>
    <w:rsid w:val="002C64F5"/>
    <w:rsid w:val="002C794B"/>
    <w:rsid w:val="002D60AF"/>
    <w:rsid w:val="002E0282"/>
    <w:rsid w:val="002E1DBC"/>
    <w:rsid w:val="002E299E"/>
    <w:rsid w:val="002E2E85"/>
    <w:rsid w:val="002E4120"/>
    <w:rsid w:val="002E4B31"/>
    <w:rsid w:val="002F1A29"/>
    <w:rsid w:val="002F1ED8"/>
    <w:rsid w:val="002F28DB"/>
    <w:rsid w:val="002F4DD7"/>
    <w:rsid w:val="002F559A"/>
    <w:rsid w:val="002F5937"/>
    <w:rsid w:val="002F5AB3"/>
    <w:rsid w:val="002F6219"/>
    <w:rsid w:val="002F76B8"/>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152"/>
    <w:rsid w:val="00376FEC"/>
    <w:rsid w:val="003773AE"/>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C1D74"/>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E7780"/>
    <w:rsid w:val="003F0413"/>
    <w:rsid w:val="003F0E91"/>
    <w:rsid w:val="003F48C4"/>
    <w:rsid w:val="003F4BDE"/>
    <w:rsid w:val="00400450"/>
    <w:rsid w:val="004014DD"/>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762"/>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610A6"/>
    <w:rsid w:val="0046218D"/>
    <w:rsid w:val="00465939"/>
    <w:rsid w:val="00465F83"/>
    <w:rsid w:val="00466BFB"/>
    <w:rsid w:val="0047619C"/>
    <w:rsid w:val="004766B3"/>
    <w:rsid w:val="0047746B"/>
    <w:rsid w:val="00484D62"/>
    <w:rsid w:val="00485AEA"/>
    <w:rsid w:val="004866DA"/>
    <w:rsid w:val="0048723B"/>
    <w:rsid w:val="0049070C"/>
    <w:rsid w:val="004919B3"/>
    <w:rsid w:val="0049224F"/>
    <w:rsid w:val="00492283"/>
    <w:rsid w:val="004972AA"/>
    <w:rsid w:val="004A2A89"/>
    <w:rsid w:val="004A3F61"/>
    <w:rsid w:val="004A665B"/>
    <w:rsid w:val="004A68EE"/>
    <w:rsid w:val="004A6AE4"/>
    <w:rsid w:val="004A6F70"/>
    <w:rsid w:val="004B15FB"/>
    <w:rsid w:val="004B1C2B"/>
    <w:rsid w:val="004B343F"/>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78E"/>
    <w:rsid w:val="00514AE6"/>
    <w:rsid w:val="00516D09"/>
    <w:rsid w:val="0052099C"/>
    <w:rsid w:val="00523DFF"/>
    <w:rsid w:val="005251BA"/>
    <w:rsid w:val="00526E97"/>
    <w:rsid w:val="00530D05"/>
    <w:rsid w:val="0053353D"/>
    <w:rsid w:val="00535B28"/>
    <w:rsid w:val="00536BA9"/>
    <w:rsid w:val="0054253F"/>
    <w:rsid w:val="00542E1F"/>
    <w:rsid w:val="005444E8"/>
    <w:rsid w:val="005447A7"/>
    <w:rsid w:val="00544FA3"/>
    <w:rsid w:val="005502CE"/>
    <w:rsid w:val="00550E90"/>
    <w:rsid w:val="005513CA"/>
    <w:rsid w:val="0055347B"/>
    <w:rsid w:val="00554A34"/>
    <w:rsid w:val="005554FC"/>
    <w:rsid w:val="005569FE"/>
    <w:rsid w:val="00556C43"/>
    <w:rsid w:val="005572D3"/>
    <w:rsid w:val="00557C41"/>
    <w:rsid w:val="00557CAF"/>
    <w:rsid w:val="00563DEC"/>
    <w:rsid w:val="00565B8D"/>
    <w:rsid w:val="00580093"/>
    <w:rsid w:val="00581915"/>
    <w:rsid w:val="00581DD6"/>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B08AB"/>
    <w:rsid w:val="005B0D4C"/>
    <w:rsid w:val="005B2D72"/>
    <w:rsid w:val="005B4CC0"/>
    <w:rsid w:val="005B5474"/>
    <w:rsid w:val="005B5554"/>
    <w:rsid w:val="005B619C"/>
    <w:rsid w:val="005C0EB9"/>
    <w:rsid w:val="005C2F56"/>
    <w:rsid w:val="005C3E51"/>
    <w:rsid w:val="005D237E"/>
    <w:rsid w:val="005D2F07"/>
    <w:rsid w:val="005D30BB"/>
    <w:rsid w:val="005D3545"/>
    <w:rsid w:val="005D3872"/>
    <w:rsid w:val="005D38D7"/>
    <w:rsid w:val="005D3C6D"/>
    <w:rsid w:val="005D3DB6"/>
    <w:rsid w:val="005D753C"/>
    <w:rsid w:val="005D759C"/>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15FA3"/>
    <w:rsid w:val="00621E33"/>
    <w:rsid w:val="00622ADB"/>
    <w:rsid w:val="00623AF4"/>
    <w:rsid w:val="0062486C"/>
    <w:rsid w:val="00624B4B"/>
    <w:rsid w:val="0062779B"/>
    <w:rsid w:val="00630CFF"/>
    <w:rsid w:val="00630D01"/>
    <w:rsid w:val="00633169"/>
    <w:rsid w:val="00634B8F"/>
    <w:rsid w:val="006353F6"/>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2AF5"/>
    <w:rsid w:val="00684038"/>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A6091"/>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5E"/>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42DA"/>
    <w:rsid w:val="007752EE"/>
    <w:rsid w:val="00776D64"/>
    <w:rsid w:val="00776E0E"/>
    <w:rsid w:val="00782649"/>
    <w:rsid w:val="007831F2"/>
    <w:rsid w:val="0078385A"/>
    <w:rsid w:val="00784881"/>
    <w:rsid w:val="007866EC"/>
    <w:rsid w:val="00787B0B"/>
    <w:rsid w:val="007921C6"/>
    <w:rsid w:val="007922EE"/>
    <w:rsid w:val="00793ECD"/>
    <w:rsid w:val="0079594D"/>
    <w:rsid w:val="00797A79"/>
    <w:rsid w:val="007A0EEA"/>
    <w:rsid w:val="007A309E"/>
    <w:rsid w:val="007A5C2B"/>
    <w:rsid w:val="007A7850"/>
    <w:rsid w:val="007B0273"/>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4BDD"/>
    <w:rsid w:val="007E4D19"/>
    <w:rsid w:val="007E5B97"/>
    <w:rsid w:val="007E6B32"/>
    <w:rsid w:val="007F2BE0"/>
    <w:rsid w:val="007F2E44"/>
    <w:rsid w:val="007F4309"/>
    <w:rsid w:val="007F5E05"/>
    <w:rsid w:val="007F5F60"/>
    <w:rsid w:val="007F7286"/>
    <w:rsid w:val="00801D79"/>
    <w:rsid w:val="00802DD3"/>
    <w:rsid w:val="00803C28"/>
    <w:rsid w:val="00807B36"/>
    <w:rsid w:val="00807F3E"/>
    <w:rsid w:val="008105E5"/>
    <w:rsid w:val="008106FB"/>
    <w:rsid w:val="00813288"/>
    <w:rsid w:val="008138E5"/>
    <w:rsid w:val="00817D96"/>
    <w:rsid w:val="00821234"/>
    <w:rsid w:val="0082193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295A"/>
    <w:rsid w:val="00853790"/>
    <w:rsid w:val="008551CC"/>
    <w:rsid w:val="008572C6"/>
    <w:rsid w:val="00857384"/>
    <w:rsid w:val="0086293A"/>
    <w:rsid w:val="008634FC"/>
    <w:rsid w:val="008707B3"/>
    <w:rsid w:val="008707BF"/>
    <w:rsid w:val="00872A38"/>
    <w:rsid w:val="00874ED6"/>
    <w:rsid w:val="00875B24"/>
    <w:rsid w:val="00876B2F"/>
    <w:rsid w:val="00877395"/>
    <w:rsid w:val="00880977"/>
    <w:rsid w:val="00881080"/>
    <w:rsid w:val="00885B79"/>
    <w:rsid w:val="008930F4"/>
    <w:rsid w:val="00894F3C"/>
    <w:rsid w:val="0089688A"/>
    <w:rsid w:val="00896A60"/>
    <w:rsid w:val="0089743D"/>
    <w:rsid w:val="0089753C"/>
    <w:rsid w:val="0089759C"/>
    <w:rsid w:val="008A5257"/>
    <w:rsid w:val="008A52E5"/>
    <w:rsid w:val="008A5385"/>
    <w:rsid w:val="008A6AAE"/>
    <w:rsid w:val="008A7762"/>
    <w:rsid w:val="008A7D24"/>
    <w:rsid w:val="008B1EE1"/>
    <w:rsid w:val="008B22B9"/>
    <w:rsid w:val="008B66BB"/>
    <w:rsid w:val="008C100F"/>
    <w:rsid w:val="008C138E"/>
    <w:rsid w:val="008D0612"/>
    <w:rsid w:val="008D224B"/>
    <w:rsid w:val="008D3459"/>
    <w:rsid w:val="008D5231"/>
    <w:rsid w:val="008D58AE"/>
    <w:rsid w:val="008D697F"/>
    <w:rsid w:val="008E21B0"/>
    <w:rsid w:val="008E4434"/>
    <w:rsid w:val="008F012A"/>
    <w:rsid w:val="008F1293"/>
    <w:rsid w:val="008F55C6"/>
    <w:rsid w:val="008F6B71"/>
    <w:rsid w:val="008F73B5"/>
    <w:rsid w:val="008F7F6F"/>
    <w:rsid w:val="0090157B"/>
    <w:rsid w:val="00901A72"/>
    <w:rsid w:val="00902F26"/>
    <w:rsid w:val="009031C7"/>
    <w:rsid w:val="009110A8"/>
    <w:rsid w:val="00911773"/>
    <w:rsid w:val="00911ED0"/>
    <w:rsid w:val="00913E23"/>
    <w:rsid w:val="00913E24"/>
    <w:rsid w:val="00920664"/>
    <w:rsid w:val="009207A8"/>
    <w:rsid w:val="00920B92"/>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51A3"/>
    <w:rsid w:val="00976A1D"/>
    <w:rsid w:val="0098062F"/>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1260"/>
    <w:rsid w:val="009D27B8"/>
    <w:rsid w:val="009D3243"/>
    <w:rsid w:val="009D32FB"/>
    <w:rsid w:val="009D37D8"/>
    <w:rsid w:val="009D5183"/>
    <w:rsid w:val="009D59DC"/>
    <w:rsid w:val="009D78D9"/>
    <w:rsid w:val="009D7A8E"/>
    <w:rsid w:val="009D7EB6"/>
    <w:rsid w:val="009E13D1"/>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FA7"/>
    <w:rsid w:val="00A050B0"/>
    <w:rsid w:val="00A065CC"/>
    <w:rsid w:val="00A11341"/>
    <w:rsid w:val="00A124D1"/>
    <w:rsid w:val="00A1519C"/>
    <w:rsid w:val="00A154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0D9"/>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615D"/>
    <w:rsid w:val="00AB73E5"/>
    <w:rsid w:val="00AB7682"/>
    <w:rsid w:val="00AC19C8"/>
    <w:rsid w:val="00AC1DFF"/>
    <w:rsid w:val="00AC2105"/>
    <w:rsid w:val="00AC47A0"/>
    <w:rsid w:val="00AC49E2"/>
    <w:rsid w:val="00AC5085"/>
    <w:rsid w:val="00AC63B7"/>
    <w:rsid w:val="00AC71BC"/>
    <w:rsid w:val="00AC7AD0"/>
    <w:rsid w:val="00AC7E1B"/>
    <w:rsid w:val="00AD0008"/>
    <w:rsid w:val="00AD1A77"/>
    <w:rsid w:val="00AD2613"/>
    <w:rsid w:val="00AD5C6D"/>
    <w:rsid w:val="00AD7B37"/>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C3B"/>
    <w:rsid w:val="00B71777"/>
    <w:rsid w:val="00B72B7D"/>
    <w:rsid w:val="00B7532F"/>
    <w:rsid w:val="00B7578C"/>
    <w:rsid w:val="00B825B0"/>
    <w:rsid w:val="00B82AC7"/>
    <w:rsid w:val="00B840BD"/>
    <w:rsid w:val="00B864B0"/>
    <w:rsid w:val="00B868B4"/>
    <w:rsid w:val="00B86E1E"/>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6E6D"/>
    <w:rsid w:val="00BB7867"/>
    <w:rsid w:val="00BC33E5"/>
    <w:rsid w:val="00BC36D0"/>
    <w:rsid w:val="00BC4E9C"/>
    <w:rsid w:val="00BC5A97"/>
    <w:rsid w:val="00BC660F"/>
    <w:rsid w:val="00BC6F71"/>
    <w:rsid w:val="00BC7206"/>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21FB0"/>
    <w:rsid w:val="00C22002"/>
    <w:rsid w:val="00C256F2"/>
    <w:rsid w:val="00C30477"/>
    <w:rsid w:val="00C307D7"/>
    <w:rsid w:val="00C322B8"/>
    <w:rsid w:val="00C34658"/>
    <w:rsid w:val="00C35ECD"/>
    <w:rsid w:val="00C366C0"/>
    <w:rsid w:val="00C37945"/>
    <w:rsid w:val="00C37BFB"/>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39F0"/>
    <w:rsid w:val="00CE5527"/>
    <w:rsid w:val="00CE7F25"/>
    <w:rsid w:val="00CF258C"/>
    <w:rsid w:val="00CF2694"/>
    <w:rsid w:val="00CF2FEE"/>
    <w:rsid w:val="00CF79CF"/>
    <w:rsid w:val="00D0000B"/>
    <w:rsid w:val="00D011DD"/>
    <w:rsid w:val="00D02115"/>
    <w:rsid w:val="00D02619"/>
    <w:rsid w:val="00D033AF"/>
    <w:rsid w:val="00D05174"/>
    <w:rsid w:val="00D05512"/>
    <w:rsid w:val="00D07BCF"/>
    <w:rsid w:val="00D10CDC"/>
    <w:rsid w:val="00D11C9E"/>
    <w:rsid w:val="00D1408E"/>
    <w:rsid w:val="00D14BF3"/>
    <w:rsid w:val="00D152A3"/>
    <w:rsid w:val="00D164A4"/>
    <w:rsid w:val="00D16D44"/>
    <w:rsid w:val="00D20255"/>
    <w:rsid w:val="00D2076D"/>
    <w:rsid w:val="00D24170"/>
    <w:rsid w:val="00D268C8"/>
    <w:rsid w:val="00D30A6D"/>
    <w:rsid w:val="00D315ED"/>
    <w:rsid w:val="00D32F37"/>
    <w:rsid w:val="00D33802"/>
    <w:rsid w:val="00D340F5"/>
    <w:rsid w:val="00D349A9"/>
    <w:rsid w:val="00D36C12"/>
    <w:rsid w:val="00D37964"/>
    <w:rsid w:val="00D37CCB"/>
    <w:rsid w:val="00D37E49"/>
    <w:rsid w:val="00D37FC3"/>
    <w:rsid w:val="00D40C58"/>
    <w:rsid w:val="00D42FD4"/>
    <w:rsid w:val="00D43380"/>
    <w:rsid w:val="00D459DF"/>
    <w:rsid w:val="00D4791E"/>
    <w:rsid w:val="00D5354F"/>
    <w:rsid w:val="00D57A5F"/>
    <w:rsid w:val="00D619A2"/>
    <w:rsid w:val="00D631EF"/>
    <w:rsid w:val="00D65EB6"/>
    <w:rsid w:val="00D66F65"/>
    <w:rsid w:val="00D71478"/>
    <w:rsid w:val="00D7295D"/>
    <w:rsid w:val="00D72F40"/>
    <w:rsid w:val="00D733BA"/>
    <w:rsid w:val="00D73B87"/>
    <w:rsid w:val="00D76514"/>
    <w:rsid w:val="00D776E0"/>
    <w:rsid w:val="00D8005E"/>
    <w:rsid w:val="00D80276"/>
    <w:rsid w:val="00D81585"/>
    <w:rsid w:val="00D81610"/>
    <w:rsid w:val="00D82EA4"/>
    <w:rsid w:val="00D8374D"/>
    <w:rsid w:val="00D87A18"/>
    <w:rsid w:val="00D90267"/>
    <w:rsid w:val="00D95099"/>
    <w:rsid w:val="00D9704C"/>
    <w:rsid w:val="00DA00F5"/>
    <w:rsid w:val="00DA213D"/>
    <w:rsid w:val="00DA2C48"/>
    <w:rsid w:val="00DA32B7"/>
    <w:rsid w:val="00DA4512"/>
    <w:rsid w:val="00DA5743"/>
    <w:rsid w:val="00DA5E54"/>
    <w:rsid w:val="00DA6F21"/>
    <w:rsid w:val="00DA7232"/>
    <w:rsid w:val="00DB080B"/>
    <w:rsid w:val="00DB202E"/>
    <w:rsid w:val="00DB21CD"/>
    <w:rsid w:val="00DB2879"/>
    <w:rsid w:val="00DB63AA"/>
    <w:rsid w:val="00DC0E35"/>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936"/>
    <w:rsid w:val="00E4015A"/>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07D3"/>
    <w:rsid w:val="00E730C8"/>
    <w:rsid w:val="00E7541E"/>
    <w:rsid w:val="00E762E8"/>
    <w:rsid w:val="00E8298A"/>
    <w:rsid w:val="00E83766"/>
    <w:rsid w:val="00E85C41"/>
    <w:rsid w:val="00E87330"/>
    <w:rsid w:val="00E90977"/>
    <w:rsid w:val="00E940C5"/>
    <w:rsid w:val="00E94191"/>
    <w:rsid w:val="00E94FAC"/>
    <w:rsid w:val="00EA033B"/>
    <w:rsid w:val="00EA27A3"/>
    <w:rsid w:val="00EA5B53"/>
    <w:rsid w:val="00EA7118"/>
    <w:rsid w:val="00EB03C1"/>
    <w:rsid w:val="00EB2628"/>
    <w:rsid w:val="00EB2F87"/>
    <w:rsid w:val="00EB6974"/>
    <w:rsid w:val="00EB78E4"/>
    <w:rsid w:val="00EC3C58"/>
    <w:rsid w:val="00EC4295"/>
    <w:rsid w:val="00EC46D5"/>
    <w:rsid w:val="00EC793A"/>
    <w:rsid w:val="00ED2E80"/>
    <w:rsid w:val="00ED7263"/>
    <w:rsid w:val="00EE0585"/>
    <w:rsid w:val="00EE1FF0"/>
    <w:rsid w:val="00EE2592"/>
    <w:rsid w:val="00EE289C"/>
    <w:rsid w:val="00EE3776"/>
    <w:rsid w:val="00EE52B4"/>
    <w:rsid w:val="00EE6710"/>
    <w:rsid w:val="00EE736D"/>
    <w:rsid w:val="00EE79A2"/>
    <w:rsid w:val="00EF1A7C"/>
    <w:rsid w:val="00EF1B6A"/>
    <w:rsid w:val="00EF20FC"/>
    <w:rsid w:val="00EF459A"/>
    <w:rsid w:val="00EF58AE"/>
    <w:rsid w:val="00EF626F"/>
    <w:rsid w:val="00EF7E82"/>
    <w:rsid w:val="00F101FA"/>
    <w:rsid w:val="00F1039D"/>
    <w:rsid w:val="00F1084F"/>
    <w:rsid w:val="00F10A30"/>
    <w:rsid w:val="00F127F4"/>
    <w:rsid w:val="00F12F15"/>
    <w:rsid w:val="00F14794"/>
    <w:rsid w:val="00F16529"/>
    <w:rsid w:val="00F224F3"/>
    <w:rsid w:val="00F23064"/>
    <w:rsid w:val="00F272F4"/>
    <w:rsid w:val="00F273B4"/>
    <w:rsid w:val="00F27BFF"/>
    <w:rsid w:val="00F3295D"/>
    <w:rsid w:val="00F339DE"/>
    <w:rsid w:val="00F33E0A"/>
    <w:rsid w:val="00F340A9"/>
    <w:rsid w:val="00F36676"/>
    <w:rsid w:val="00F3799E"/>
    <w:rsid w:val="00F44E85"/>
    <w:rsid w:val="00F46617"/>
    <w:rsid w:val="00F46AE9"/>
    <w:rsid w:val="00F46F16"/>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3C95"/>
    <w:rsid w:val="00F87069"/>
    <w:rsid w:val="00F87128"/>
    <w:rsid w:val="00F95A5C"/>
    <w:rsid w:val="00F969DC"/>
    <w:rsid w:val="00F96C65"/>
    <w:rsid w:val="00F97759"/>
    <w:rsid w:val="00F97A3F"/>
    <w:rsid w:val="00FA0D9C"/>
    <w:rsid w:val="00FA2F13"/>
    <w:rsid w:val="00FB2CEE"/>
    <w:rsid w:val="00FB70A6"/>
    <w:rsid w:val="00FC0B3B"/>
    <w:rsid w:val="00FC0CB1"/>
    <w:rsid w:val="00FC35B9"/>
    <w:rsid w:val="00FC40BA"/>
    <w:rsid w:val="00FC683A"/>
    <w:rsid w:val="00FC7545"/>
    <w:rsid w:val="00FD1DD3"/>
    <w:rsid w:val="00FD2ABB"/>
    <w:rsid w:val="00FD32DA"/>
    <w:rsid w:val="00FE05DF"/>
    <w:rsid w:val="00FE2883"/>
    <w:rsid w:val="00FE29D1"/>
    <w:rsid w:val="00FE4276"/>
    <w:rsid w:val="00FE43D3"/>
    <w:rsid w:val="00FE5BB5"/>
    <w:rsid w:val="00FE7EA7"/>
    <w:rsid w:val="00FF02F9"/>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C9F04883-CA17-4B36-AAFC-2B1B72EE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uiPriority w:val="39"/>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paragraph" w:styleId="Textosinformato">
    <w:name w:val="Plain Text"/>
    <w:aliases w:val=" Car,Car Car,Car"/>
    <w:basedOn w:val="Normal"/>
    <w:link w:val="TextosinformatoCar"/>
    <w:rsid w:val="00A800D9"/>
    <w:rPr>
      <w:rFonts w:ascii="Courier New" w:hAnsi="Courier New"/>
    </w:rPr>
  </w:style>
  <w:style w:type="character" w:customStyle="1" w:styleId="TextosinformatoCar">
    <w:name w:val="Texto sin formato Car"/>
    <w:aliases w:val=" Car Car,Car Car Car,Car Car1"/>
    <w:basedOn w:val="Fuentedeprrafopredeter"/>
    <w:link w:val="Textosinformato"/>
    <w:rsid w:val="00A800D9"/>
    <w:rPr>
      <w:rFonts w:ascii="Courier New" w:hAnsi="Courier New"/>
      <w:lang w:val="es-ES" w:eastAsia="es-ES"/>
    </w:rPr>
  </w:style>
  <w:style w:type="paragraph" w:customStyle="1" w:styleId="arial">
    <w:name w:val="arial"/>
    <w:basedOn w:val="Normal"/>
    <w:rsid w:val="003773AE"/>
    <w:pPr>
      <w:suppressAutoHyphens/>
      <w:jc w:val="both"/>
    </w:pPr>
    <w:rPr>
      <w:rFonts w:ascii="Cambria" w:eastAsia="Calibri" w:hAnsi="Cambria" w:cs="Arial"/>
      <w:color w:val="000000"/>
      <w:sz w:val="24"/>
      <w:szCs w:val="24"/>
      <w:lang w:val="es-MX" w:eastAsia="ar-SA"/>
    </w:rPr>
  </w:style>
  <w:style w:type="paragraph" w:customStyle="1" w:styleId="Prrafodelista2">
    <w:name w:val="Párrafo de lista2"/>
    <w:basedOn w:val="Normal"/>
    <w:link w:val="ListParagraphChar"/>
    <w:rsid w:val="003773AE"/>
    <w:pPr>
      <w:spacing w:after="200" w:line="276" w:lineRule="auto"/>
      <w:ind w:left="720"/>
    </w:pPr>
    <w:rPr>
      <w:rFonts w:ascii="Calibri" w:hAnsi="Calibri"/>
      <w:lang w:val="es-MX"/>
    </w:rPr>
  </w:style>
  <w:style w:type="character" w:customStyle="1" w:styleId="ListParagraphChar">
    <w:name w:val="List Paragraph Char"/>
    <w:link w:val="Prrafodelista2"/>
    <w:locked/>
    <w:rsid w:val="003773AE"/>
    <w:rPr>
      <w:rFonts w:ascii="Calibri" w:hAnsi="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A2189-D39F-4714-8920-9F256FFE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2128</Words>
  <Characters>11708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13809</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Alicia Stefany Beltrán Rosales</cp:lastModifiedBy>
  <cp:revision>7</cp:revision>
  <cp:lastPrinted>2018-06-04T17:05:00Z</cp:lastPrinted>
  <dcterms:created xsi:type="dcterms:W3CDTF">2018-10-31T19:05:00Z</dcterms:created>
  <dcterms:modified xsi:type="dcterms:W3CDTF">2018-11-06T20:23:00Z</dcterms:modified>
</cp:coreProperties>
</file>